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60" w:rsidRPr="006D25C1" w:rsidRDefault="00382460" w:rsidP="00382460">
      <w:pPr>
        <w:spacing w:line="254" w:lineRule="auto"/>
        <w:ind w:left="4" w:firstLine="360"/>
        <w:jc w:val="both"/>
        <w:rPr>
          <w:rFonts w:eastAsia="Arial"/>
          <w:sz w:val="24"/>
          <w:szCs w:val="24"/>
        </w:rPr>
      </w:pPr>
      <w:r w:rsidRPr="006D25C1">
        <w:rPr>
          <w:rFonts w:eastAsia="Arial"/>
          <w:sz w:val="24"/>
          <w:szCs w:val="24"/>
        </w:rPr>
        <w:t xml:space="preserve">Temeljem članka 78. Zakona o komunalnom gospodarstvu (NN RH 68/18) i </w:t>
      </w:r>
      <w:r w:rsidRPr="006D25C1">
        <w:rPr>
          <w:color w:val="000000"/>
          <w:sz w:val="24"/>
          <w:szCs w:val="24"/>
        </w:rPr>
        <w:t>članka 3</w:t>
      </w:r>
      <w:r w:rsidR="00753F2D">
        <w:rPr>
          <w:color w:val="000000"/>
          <w:sz w:val="24"/>
          <w:szCs w:val="24"/>
        </w:rPr>
        <w:t>2</w:t>
      </w:r>
      <w:r w:rsidRPr="006D25C1">
        <w:rPr>
          <w:color w:val="000000"/>
          <w:sz w:val="24"/>
          <w:szCs w:val="24"/>
        </w:rPr>
        <w:t xml:space="preserve">. Statuta Općine </w:t>
      </w:r>
      <w:r w:rsidR="00753F2D">
        <w:rPr>
          <w:color w:val="000000"/>
          <w:sz w:val="24"/>
          <w:szCs w:val="24"/>
        </w:rPr>
        <w:t>Sveti Martin na Muri</w:t>
      </w:r>
      <w:r w:rsidRPr="006D25C1">
        <w:rPr>
          <w:color w:val="000000"/>
          <w:sz w:val="24"/>
          <w:szCs w:val="24"/>
        </w:rPr>
        <w:t xml:space="preserve"> („Službeni glasnik Međimurske županije“ broj 0</w:t>
      </w:r>
      <w:r w:rsidR="00753F2D">
        <w:rPr>
          <w:color w:val="000000"/>
          <w:sz w:val="24"/>
          <w:szCs w:val="24"/>
        </w:rPr>
        <w:t>7</w:t>
      </w:r>
      <w:r w:rsidRPr="006D25C1">
        <w:rPr>
          <w:color w:val="000000"/>
          <w:sz w:val="24"/>
          <w:szCs w:val="24"/>
        </w:rPr>
        <w:t>/1</w:t>
      </w:r>
      <w:r w:rsidR="00753F2D">
        <w:rPr>
          <w:color w:val="000000"/>
          <w:sz w:val="24"/>
          <w:szCs w:val="24"/>
        </w:rPr>
        <w:t>3 – pročišćeni tekst, 03/18</w:t>
      </w:r>
      <w:r w:rsidRPr="006D25C1">
        <w:rPr>
          <w:color w:val="000000"/>
          <w:sz w:val="24"/>
          <w:szCs w:val="24"/>
        </w:rPr>
        <w:t xml:space="preserve">.), Općinsko vijeće Općine </w:t>
      </w:r>
      <w:r w:rsidR="00753F2D">
        <w:rPr>
          <w:color w:val="000000"/>
          <w:sz w:val="24"/>
          <w:szCs w:val="24"/>
        </w:rPr>
        <w:t>Sveti Martin na Muri</w:t>
      </w:r>
      <w:r w:rsidRPr="006D25C1">
        <w:rPr>
          <w:color w:val="000000"/>
          <w:sz w:val="24"/>
          <w:szCs w:val="24"/>
        </w:rPr>
        <w:t xml:space="preserve"> na </w:t>
      </w:r>
      <w:r w:rsidR="00E704CC">
        <w:rPr>
          <w:color w:val="000000"/>
          <w:sz w:val="24"/>
          <w:szCs w:val="24"/>
        </w:rPr>
        <w:t>15.</w:t>
      </w:r>
      <w:r w:rsidRPr="006D25C1">
        <w:rPr>
          <w:color w:val="000000"/>
          <w:sz w:val="24"/>
          <w:szCs w:val="24"/>
        </w:rPr>
        <w:t xml:space="preserve"> sjednici, održanoj  </w:t>
      </w:r>
      <w:r w:rsidR="00E704CC">
        <w:rPr>
          <w:color w:val="000000"/>
          <w:sz w:val="24"/>
          <w:szCs w:val="24"/>
        </w:rPr>
        <w:t>30.01.</w:t>
      </w:r>
      <w:r w:rsidRPr="006D25C1">
        <w:rPr>
          <w:color w:val="000000"/>
          <w:sz w:val="24"/>
          <w:szCs w:val="24"/>
        </w:rPr>
        <w:t xml:space="preserve"> 2019.  godine, donosi</w:t>
      </w:r>
    </w:p>
    <w:p w:rsidR="00382460" w:rsidRDefault="00382460" w:rsidP="00382460">
      <w:pPr>
        <w:spacing w:line="254" w:lineRule="auto"/>
        <w:ind w:left="4" w:firstLine="360"/>
        <w:jc w:val="both"/>
        <w:rPr>
          <w:sz w:val="20"/>
          <w:szCs w:val="20"/>
        </w:rPr>
      </w:pPr>
    </w:p>
    <w:p w:rsidR="00382460" w:rsidRPr="006D25C1" w:rsidRDefault="00382460" w:rsidP="00382460">
      <w:pPr>
        <w:spacing w:line="182" w:lineRule="exact"/>
        <w:rPr>
          <w:sz w:val="24"/>
          <w:szCs w:val="24"/>
        </w:rPr>
      </w:pPr>
    </w:p>
    <w:p w:rsidR="00382460" w:rsidRPr="006D25C1" w:rsidRDefault="00382460" w:rsidP="00382460">
      <w:pPr>
        <w:ind w:right="-363"/>
        <w:jc w:val="center"/>
        <w:rPr>
          <w:sz w:val="24"/>
          <w:szCs w:val="24"/>
        </w:rPr>
      </w:pPr>
      <w:r w:rsidRPr="006D25C1">
        <w:rPr>
          <w:rFonts w:eastAsia="Arial"/>
          <w:b/>
          <w:bCs/>
          <w:sz w:val="24"/>
          <w:szCs w:val="24"/>
        </w:rPr>
        <w:t>O D L U K U</w:t>
      </w:r>
    </w:p>
    <w:p w:rsidR="00382460" w:rsidRPr="006D25C1" w:rsidRDefault="00382460" w:rsidP="00382460">
      <w:pPr>
        <w:spacing w:line="7" w:lineRule="exact"/>
        <w:rPr>
          <w:sz w:val="24"/>
          <w:szCs w:val="24"/>
        </w:rPr>
      </w:pPr>
    </w:p>
    <w:p w:rsidR="00382460" w:rsidRPr="006D25C1" w:rsidRDefault="00382460" w:rsidP="00382460">
      <w:pPr>
        <w:ind w:right="-203"/>
        <w:jc w:val="center"/>
        <w:rPr>
          <w:sz w:val="24"/>
          <w:szCs w:val="24"/>
        </w:rPr>
      </w:pPr>
      <w:r w:rsidRPr="006D25C1">
        <w:rPr>
          <w:rFonts w:eastAsia="Arial"/>
          <w:b/>
          <w:bCs/>
          <w:sz w:val="24"/>
          <w:szCs w:val="24"/>
        </w:rPr>
        <w:t>o komunalnom doprinosu</w:t>
      </w:r>
    </w:p>
    <w:p w:rsidR="00382460" w:rsidRPr="006D25C1" w:rsidRDefault="00382460" w:rsidP="00382460">
      <w:pPr>
        <w:spacing w:line="253" w:lineRule="exact"/>
        <w:rPr>
          <w:sz w:val="24"/>
          <w:szCs w:val="24"/>
        </w:rPr>
      </w:pPr>
    </w:p>
    <w:p w:rsidR="00382460" w:rsidRPr="006D25C1" w:rsidRDefault="00382460" w:rsidP="00382460">
      <w:pPr>
        <w:ind w:left="4"/>
        <w:rPr>
          <w:sz w:val="24"/>
          <w:szCs w:val="24"/>
        </w:rPr>
      </w:pPr>
      <w:r w:rsidRPr="006D25C1">
        <w:rPr>
          <w:rFonts w:eastAsia="Arial"/>
          <w:b/>
          <w:bCs/>
          <w:sz w:val="24"/>
          <w:szCs w:val="24"/>
        </w:rPr>
        <w:t>I. OPĆE ODREDBE</w:t>
      </w:r>
    </w:p>
    <w:p w:rsidR="00382460" w:rsidRPr="006D25C1" w:rsidRDefault="00382460" w:rsidP="00382460">
      <w:pPr>
        <w:spacing w:line="1" w:lineRule="exact"/>
        <w:rPr>
          <w:sz w:val="24"/>
          <w:szCs w:val="24"/>
        </w:rPr>
      </w:pPr>
    </w:p>
    <w:p w:rsidR="00382460" w:rsidRPr="006D25C1" w:rsidRDefault="00382460" w:rsidP="00382460">
      <w:pPr>
        <w:ind w:right="16"/>
        <w:jc w:val="center"/>
        <w:rPr>
          <w:sz w:val="24"/>
          <w:szCs w:val="24"/>
        </w:rPr>
      </w:pPr>
      <w:r w:rsidRPr="006D25C1">
        <w:rPr>
          <w:rFonts w:eastAsia="Arial"/>
          <w:b/>
          <w:bCs/>
          <w:sz w:val="24"/>
          <w:szCs w:val="24"/>
        </w:rPr>
        <w:t>Članak 1.</w:t>
      </w:r>
    </w:p>
    <w:p w:rsidR="00382460" w:rsidRPr="006D25C1" w:rsidRDefault="00382460" w:rsidP="00382460">
      <w:pPr>
        <w:spacing w:line="254" w:lineRule="exact"/>
        <w:rPr>
          <w:sz w:val="24"/>
          <w:szCs w:val="24"/>
        </w:rPr>
      </w:pPr>
    </w:p>
    <w:p w:rsidR="00382460" w:rsidRPr="006D25C1" w:rsidRDefault="00382460" w:rsidP="00382460">
      <w:pPr>
        <w:ind w:left="704"/>
        <w:rPr>
          <w:sz w:val="24"/>
          <w:szCs w:val="24"/>
        </w:rPr>
      </w:pPr>
      <w:r w:rsidRPr="006D25C1">
        <w:rPr>
          <w:rFonts w:eastAsia="Arial"/>
          <w:sz w:val="24"/>
          <w:szCs w:val="24"/>
        </w:rPr>
        <w:t>Ovom odlukom određuju se:</w:t>
      </w:r>
    </w:p>
    <w:p w:rsidR="00382460" w:rsidRPr="006D25C1" w:rsidRDefault="00382460" w:rsidP="00382460">
      <w:pPr>
        <w:numPr>
          <w:ilvl w:val="0"/>
          <w:numId w:val="19"/>
        </w:numPr>
        <w:tabs>
          <w:tab w:val="left" w:pos="144"/>
        </w:tabs>
        <w:ind w:left="144" w:hanging="144"/>
        <w:rPr>
          <w:rFonts w:eastAsia="Arial"/>
          <w:sz w:val="24"/>
          <w:szCs w:val="24"/>
        </w:rPr>
      </w:pPr>
      <w:r w:rsidRPr="006D25C1">
        <w:rPr>
          <w:rFonts w:eastAsia="Arial"/>
          <w:sz w:val="24"/>
          <w:szCs w:val="24"/>
        </w:rPr>
        <w:t>visina komunalnog dop</w:t>
      </w:r>
      <w:r>
        <w:rPr>
          <w:rFonts w:eastAsia="Arial"/>
          <w:sz w:val="24"/>
          <w:szCs w:val="24"/>
        </w:rPr>
        <w:t xml:space="preserve">rinosa na području Općine </w:t>
      </w:r>
      <w:r w:rsidR="00A00318">
        <w:rPr>
          <w:rFonts w:eastAsia="Arial"/>
          <w:sz w:val="24"/>
          <w:szCs w:val="24"/>
        </w:rPr>
        <w:t>Sveti Martin na Muri</w:t>
      </w:r>
    </w:p>
    <w:p w:rsidR="00382460" w:rsidRPr="006D25C1" w:rsidRDefault="00382460" w:rsidP="00382460">
      <w:pPr>
        <w:numPr>
          <w:ilvl w:val="0"/>
          <w:numId w:val="19"/>
        </w:numPr>
        <w:tabs>
          <w:tab w:val="left" w:pos="144"/>
        </w:tabs>
        <w:ind w:left="144" w:hanging="144"/>
        <w:rPr>
          <w:rFonts w:eastAsia="Arial"/>
          <w:sz w:val="24"/>
          <w:szCs w:val="24"/>
        </w:rPr>
      </w:pPr>
      <w:r w:rsidRPr="006D25C1">
        <w:rPr>
          <w:rFonts w:eastAsia="Arial"/>
          <w:sz w:val="24"/>
          <w:szCs w:val="24"/>
        </w:rPr>
        <w:t>područja zona za plaća</w:t>
      </w:r>
      <w:r>
        <w:rPr>
          <w:rFonts w:eastAsia="Arial"/>
          <w:sz w:val="24"/>
          <w:szCs w:val="24"/>
        </w:rPr>
        <w:t xml:space="preserve">nje komunalnog doprinosa u Općini </w:t>
      </w:r>
      <w:r w:rsidR="00A00318">
        <w:rPr>
          <w:rFonts w:eastAsia="Arial"/>
          <w:sz w:val="24"/>
          <w:szCs w:val="24"/>
        </w:rPr>
        <w:t>Sveti Martin na Muri</w:t>
      </w:r>
    </w:p>
    <w:p w:rsidR="00382460" w:rsidRPr="006D25C1" w:rsidRDefault="00382460" w:rsidP="00382460">
      <w:pPr>
        <w:spacing w:line="1" w:lineRule="exact"/>
        <w:rPr>
          <w:rFonts w:eastAsia="Arial"/>
          <w:sz w:val="24"/>
          <w:szCs w:val="24"/>
        </w:rPr>
      </w:pPr>
    </w:p>
    <w:p w:rsidR="00382460" w:rsidRPr="006D25C1" w:rsidRDefault="00382460" w:rsidP="00382460">
      <w:pPr>
        <w:numPr>
          <w:ilvl w:val="0"/>
          <w:numId w:val="19"/>
        </w:numPr>
        <w:tabs>
          <w:tab w:val="left" w:pos="144"/>
        </w:tabs>
        <w:spacing w:line="239" w:lineRule="auto"/>
        <w:ind w:left="144" w:hanging="144"/>
        <w:rPr>
          <w:rFonts w:eastAsia="Arial"/>
          <w:sz w:val="24"/>
          <w:szCs w:val="24"/>
        </w:rPr>
      </w:pPr>
      <w:r w:rsidRPr="006D25C1">
        <w:rPr>
          <w:rFonts w:eastAsia="Arial"/>
          <w:sz w:val="24"/>
          <w:szCs w:val="24"/>
        </w:rPr>
        <w:t>jedinična vrijednost komunalnog doprinosa utvrđena po m3 građevine za pojedine zone</w:t>
      </w:r>
    </w:p>
    <w:p w:rsidR="00382460" w:rsidRPr="006D25C1" w:rsidRDefault="00382460" w:rsidP="00382460">
      <w:pPr>
        <w:numPr>
          <w:ilvl w:val="0"/>
          <w:numId w:val="19"/>
        </w:numPr>
        <w:tabs>
          <w:tab w:val="left" w:pos="144"/>
        </w:tabs>
        <w:ind w:left="144" w:hanging="144"/>
        <w:rPr>
          <w:rFonts w:eastAsia="Arial"/>
          <w:sz w:val="24"/>
          <w:szCs w:val="24"/>
        </w:rPr>
      </w:pPr>
      <w:r w:rsidRPr="006D25C1">
        <w:rPr>
          <w:rFonts w:eastAsia="Arial"/>
          <w:sz w:val="24"/>
          <w:szCs w:val="24"/>
        </w:rPr>
        <w:t>način i rokovi plaćanja komunalnog doprinosa</w:t>
      </w:r>
    </w:p>
    <w:p w:rsidR="00382460" w:rsidRPr="006D25C1" w:rsidRDefault="00382460" w:rsidP="00382460">
      <w:pPr>
        <w:spacing w:line="1" w:lineRule="exact"/>
        <w:rPr>
          <w:rFonts w:eastAsia="Arial"/>
          <w:sz w:val="24"/>
          <w:szCs w:val="24"/>
        </w:rPr>
      </w:pPr>
    </w:p>
    <w:p w:rsidR="00382460" w:rsidRPr="006D25C1" w:rsidRDefault="00382460" w:rsidP="00382460">
      <w:pPr>
        <w:numPr>
          <w:ilvl w:val="0"/>
          <w:numId w:val="19"/>
        </w:numPr>
        <w:tabs>
          <w:tab w:val="left" w:pos="139"/>
        </w:tabs>
        <w:spacing w:line="283" w:lineRule="auto"/>
        <w:ind w:left="144" w:right="20" w:hanging="144"/>
        <w:rPr>
          <w:rFonts w:eastAsia="Arial"/>
          <w:sz w:val="24"/>
          <w:szCs w:val="24"/>
        </w:rPr>
      </w:pPr>
      <w:r w:rsidRPr="006D25C1">
        <w:rPr>
          <w:rFonts w:eastAsia="Arial"/>
          <w:sz w:val="24"/>
          <w:szCs w:val="24"/>
        </w:rPr>
        <w:t>uvjeti i razlozi zbog kojih se u pojedinačnim slučajevima može odobriti djelomično ili potpuno oslobađanje od plaćanja komunalnog doprinosa.</w:t>
      </w:r>
    </w:p>
    <w:p w:rsidR="00382460" w:rsidRPr="006D25C1" w:rsidRDefault="00382460" w:rsidP="00382460">
      <w:pPr>
        <w:spacing w:line="158" w:lineRule="exact"/>
        <w:rPr>
          <w:sz w:val="24"/>
          <w:szCs w:val="24"/>
        </w:rPr>
      </w:pPr>
    </w:p>
    <w:p w:rsidR="00382460" w:rsidRPr="006D25C1" w:rsidRDefault="00382460" w:rsidP="00382460">
      <w:pPr>
        <w:ind w:right="16"/>
        <w:jc w:val="center"/>
        <w:rPr>
          <w:sz w:val="24"/>
          <w:szCs w:val="24"/>
        </w:rPr>
      </w:pPr>
      <w:r w:rsidRPr="006D25C1">
        <w:rPr>
          <w:rFonts w:eastAsia="Arial"/>
          <w:b/>
          <w:bCs/>
          <w:sz w:val="24"/>
          <w:szCs w:val="24"/>
        </w:rPr>
        <w:t>Članak 2.</w:t>
      </w:r>
    </w:p>
    <w:p w:rsidR="00382460" w:rsidRPr="006D25C1" w:rsidRDefault="00382460" w:rsidP="00382460">
      <w:pPr>
        <w:spacing w:line="257" w:lineRule="exact"/>
        <w:rPr>
          <w:sz w:val="24"/>
          <w:szCs w:val="24"/>
        </w:rPr>
      </w:pPr>
    </w:p>
    <w:p w:rsidR="00382460" w:rsidRPr="006D25C1" w:rsidRDefault="00382460" w:rsidP="00382460">
      <w:pPr>
        <w:spacing w:line="239" w:lineRule="auto"/>
        <w:ind w:left="4" w:firstLine="708"/>
        <w:jc w:val="both"/>
        <w:rPr>
          <w:sz w:val="24"/>
          <w:szCs w:val="24"/>
        </w:rPr>
      </w:pPr>
      <w:r w:rsidRPr="006D25C1">
        <w:rPr>
          <w:rFonts w:eastAsia="Arial"/>
          <w:sz w:val="24"/>
          <w:szCs w:val="24"/>
        </w:rPr>
        <w:t>Komunalni doprinos je novčano javno davanje koje se plaća za korištenje komunalne infrastr</w:t>
      </w:r>
      <w:r>
        <w:rPr>
          <w:rFonts w:eastAsia="Arial"/>
          <w:sz w:val="24"/>
          <w:szCs w:val="24"/>
        </w:rPr>
        <w:t xml:space="preserve">ukture na području Općine </w:t>
      </w:r>
      <w:r w:rsidR="00A00318">
        <w:rPr>
          <w:rFonts w:eastAsia="Arial"/>
          <w:sz w:val="24"/>
          <w:szCs w:val="24"/>
        </w:rPr>
        <w:t>Sveti Martin na Muri</w:t>
      </w:r>
      <w:r w:rsidRPr="006D25C1">
        <w:rPr>
          <w:rFonts w:eastAsia="Arial"/>
          <w:sz w:val="24"/>
          <w:szCs w:val="24"/>
        </w:rPr>
        <w:t xml:space="preserve"> i položajne pogodnosti građevinskog zemljišta u naselju prilikom građenja ili ozakonjenja građevine, ako Zakon o komunalnom gospodarstvu ne propisuje drugačije.</w:t>
      </w:r>
    </w:p>
    <w:p w:rsidR="00382460" w:rsidRPr="006D25C1" w:rsidRDefault="00382460" w:rsidP="00382460">
      <w:pPr>
        <w:spacing w:line="3" w:lineRule="exact"/>
        <w:rPr>
          <w:sz w:val="24"/>
          <w:szCs w:val="24"/>
        </w:rPr>
      </w:pPr>
    </w:p>
    <w:p w:rsidR="00382460" w:rsidRPr="006D25C1" w:rsidRDefault="00382460" w:rsidP="00382460">
      <w:pPr>
        <w:spacing w:line="285" w:lineRule="auto"/>
        <w:ind w:left="4" w:right="20" w:firstLine="708"/>
        <w:jc w:val="both"/>
        <w:rPr>
          <w:sz w:val="24"/>
          <w:szCs w:val="24"/>
        </w:rPr>
      </w:pPr>
      <w:r w:rsidRPr="006D25C1">
        <w:rPr>
          <w:rFonts w:eastAsia="Arial"/>
          <w:sz w:val="24"/>
          <w:szCs w:val="24"/>
        </w:rPr>
        <w:t>Komunalni doprinos j</w:t>
      </w:r>
      <w:r>
        <w:rPr>
          <w:rFonts w:eastAsia="Arial"/>
          <w:sz w:val="24"/>
          <w:szCs w:val="24"/>
        </w:rPr>
        <w:t xml:space="preserve">e prihod proračuna Općine </w:t>
      </w:r>
      <w:r w:rsidR="00A00318">
        <w:rPr>
          <w:rFonts w:eastAsia="Arial"/>
          <w:sz w:val="24"/>
          <w:szCs w:val="24"/>
        </w:rPr>
        <w:t>Sveti Martin na Muri</w:t>
      </w:r>
      <w:r w:rsidRPr="006D25C1">
        <w:rPr>
          <w:rFonts w:eastAsia="Arial"/>
          <w:sz w:val="24"/>
          <w:szCs w:val="24"/>
        </w:rPr>
        <w:t xml:space="preserve"> koji se koristi samo za financiranje građenja i održavanja komunalne infrastrukture.</w:t>
      </w:r>
    </w:p>
    <w:p w:rsidR="00382460" w:rsidRPr="006D25C1" w:rsidRDefault="00382460" w:rsidP="00382460">
      <w:pPr>
        <w:spacing w:line="154" w:lineRule="exact"/>
        <w:rPr>
          <w:sz w:val="24"/>
          <w:szCs w:val="24"/>
        </w:rPr>
      </w:pPr>
    </w:p>
    <w:p w:rsidR="00382460" w:rsidRPr="006D25C1" w:rsidRDefault="00382460" w:rsidP="00382460">
      <w:pPr>
        <w:ind w:right="16"/>
        <w:jc w:val="center"/>
        <w:rPr>
          <w:sz w:val="24"/>
          <w:szCs w:val="24"/>
        </w:rPr>
      </w:pPr>
      <w:r w:rsidRPr="006D25C1">
        <w:rPr>
          <w:rFonts w:eastAsia="Arial"/>
          <w:b/>
          <w:bCs/>
          <w:sz w:val="24"/>
          <w:szCs w:val="24"/>
        </w:rPr>
        <w:t>Članak 3.</w:t>
      </w:r>
    </w:p>
    <w:p w:rsidR="00382460" w:rsidRPr="006D25C1" w:rsidRDefault="00382460" w:rsidP="00382460">
      <w:pPr>
        <w:spacing w:line="257" w:lineRule="exact"/>
        <w:rPr>
          <w:sz w:val="24"/>
          <w:szCs w:val="24"/>
        </w:rPr>
      </w:pPr>
    </w:p>
    <w:p w:rsidR="00382460" w:rsidRPr="006D25C1" w:rsidRDefault="00382460" w:rsidP="00382460">
      <w:pPr>
        <w:spacing w:line="239" w:lineRule="auto"/>
        <w:ind w:left="4" w:firstLine="708"/>
        <w:jc w:val="both"/>
        <w:rPr>
          <w:sz w:val="24"/>
          <w:szCs w:val="24"/>
        </w:rPr>
      </w:pPr>
      <w:r w:rsidRPr="006D25C1">
        <w:rPr>
          <w:rFonts w:eastAsia="Arial"/>
          <w:sz w:val="24"/>
          <w:szCs w:val="24"/>
        </w:rPr>
        <w:t>Komunalni doprinos plaća vlasnik zemljišta na kojem se gradi građevina ili se nalazi ozakonjena građevina, odnosno investitor ako je na njega pisanim ugovorom prenesena obveza plaćanja komunalnog doprinosa.</w:t>
      </w:r>
    </w:p>
    <w:p w:rsidR="00382460" w:rsidRPr="006D25C1" w:rsidRDefault="00382460" w:rsidP="00382460">
      <w:pPr>
        <w:spacing w:line="2" w:lineRule="exact"/>
        <w:rPr>
          <w:sz w:val="24"/>
          <w:szCs w:val="24"/>
        </w:rPr>
      </w:pPr>
    </w:p>
    <w:p w:rsidR="00382460" w:rsidRPr="006D25C1" w:rsidRDefault="00382460" w:rsidP="00382460">
      <w:pPr>
        <w:ind w:left="704"/>
        <w:rPr>
          <w:sz w:val="24"/>
          <w:szCs w:val="24"/>
        </w:rPr>
      </w:pPr>
      <w:r>
        <w:rPr>
          <w:rFonts w:eastAsia="Arial"/>
          <w:sz w:val="24"/>
          <w:szCs w:val="24"/>
        </w:rPr>
        <w:t xml:space="preserve">Općina </w:t>
      </w:r>
      <w:r w:rsidR="00A00318">
        <w:rPr>
          <w:rFonts w:eastAsia="Arial"/>
          <w:sz w:val="24"/>
          <w:szCs w:val="24"/>
        </w:rPr>
        <w:t>Sveti Martin na Muri</w:t>
      </w:r>
      <w:r w:rsidRPr="006D25C1">
        <w:rPr>
          <w:rFonts w:eastAsia="Arial"/>
          <w:sz w:val="24"/>
          <w:szCs w:val="24"/>
        </w:rPr>
        <w:t xml:space="preserve"> ne plaća komunalni doprinos na svom području.</w:t>
      </w:r>
    </w:p>
    <w:p w:rsidR="00382460" w:rsidRPr="006D25C1" w:rsidRDefault="00382460" w:rsidP="00382460">
      <w:pPr>
        <w:spacing w:line="250" w:lineRule="exact"/>
        <w:rPr>
          <w:sz w:val="24"/>
          <w:szCs w:val="24"/>
        </w:rPr>
      </w:pPr>
    </w:p>
    <w:p w:rsidR="00382460" w:rsidRPr="006D25C1" w:rsidRDefault="00382460" w:rsidP="00382460">
      <w:pPr>
        <w:ind w:left="4044"/>
        <w:rPr>
          <w:sz w:val="24"/>
          <w:szCs w:val="24"/>
        </w:rPr>
      </w:pPr>
      <w:r w:rsidRPr="006D25C1">
        <w:rPr>
          <w:rFonts w:eastAsia="Arial"/>
          <w:b/>
          <w:bCs/>
          <w:sz w:val="24"/>
          <w:szCs w:val="24"/>
        </w:rPr>
        <w:t>Članak 4.</w:t>
      </w:r>
    </w:p>
    <w:p w:rsidR="00382460" w:rsidRPr="006D25C1" w:rsidRDefault="00382460" w:rsidP="00382460">
      <w:pPr>
        <w:spacing w:line="257" w:lineRule="exact"/>
        <w:rPr>
          <w:sz w:val="24"/>
          <w:szCs w:val="24"/>
        </w:rPr>
      </w:pPr>
    </w:p>
    <w:p w:rsidR="00382460" w:rsidRPr="006D25C1" w:rsidRDefault="00382460" w:rsidP="00382460">
      <w:pPr>
        <w:spacing w:line="239" w:lineRule="auto"/>
        <w:ind w:left="4" w:right="20" w:firstLine="708"/>
        <w:jc w:val="both"/>
        <w:rPr>
          <w:sz w:val="24"/>
          <w:szCs w:val="24"/>
        </w:rPr>
      </w:pPr>
      <w:r w:rsidRPr="006D25C1">
        <w:rPr>
          <w:rFonts w:eastAsia="Arial"/>
          <w:sz w:val="24"/>
          <w:szCs w:val="24"/>
        </w:rPr>
        <w:t>Komunalni doprinos za zgrade obračunava se množenjem obujma zgrade koja se gradi ili je izgrađena izraženog u m³ s jediničnom vrijednošću komunalnog doprinosa u zoni u kojoj se zgrada gradi ili je izgrađena.</w:t>
      </w:r>
    </w:p>
    <w:p w:rsidR="00382460" w:rsidRPr="006D25C1" w:rsidRDefault="00382460" w:rsidP="00382460">
      <w:pPr>
        <w:spacing w:line="2" w:lineRule="exact"/>
        <w:rPr>
          <w:sz w:val="24"/>
          <w:szCs w:val="24"/>
        </w:rPr>
      </w:pPr>
    </w:p>
    <w:p w:rsidR="00382460" w:rsidRPr="006D25C1" w:rsidRDefault="00382460" w:rsidP="00382460">
      <w:pPr>
        <w:spacing w:line="239" w:lineRule="auto"/>
        <w:ind w:left="4" w:right="20" w:firstLine="708"/>
        <w:jc w:val="both"/>
        <w:rPr>
          <w:sz w:val="24"/>
          <w:szCs w:val="24"/>
        </w:rPr>
      </w:pPr>
      <w:r w:rsidRPr="006D25C1">
        <w:rPr>
          <w:rFonts w:eastAsia="Arial"/>
          <w:sz w:val="24"/>
          <w:szCs w:val="24"/>
        </w:rPr>
        <w:t>Komunalni doprinos za otvorene bazene i druge otvorene građevine te spremnike za naftu i druge tekućine s pokrovom čija visina se mijenja obračunava se množenjem tlocrtne površine građevine koja se gradi ili je izgrađena izražene u m² s jediničnom vrijednošću komunalnog doprinosa u zoni u kojoj se građevina gradi ili je izgrađena. Posebnim pravilnikom Ministar pobliže propisuje način utvrđivanja obujma i površine građevina u svrhu obračuna komunalnog doprinosa.</w:t>
      </w:r>
    </w:p>
    <w:p w:rsidR="00382460" w:rsidRPr="006D25C1" w:rsidRDefault="00382460" w:rsidP="00382460">
      <w:pPr>
        <w:spacing w:line="4" w:lineRule="exact"/>
        <w:rPr>
          <w:sz w:val="24"/>
          <w:szCs w:val="24"/>
        </w:rPr>
      </w:pPr>
    </w:p>
    <w:p w:rsidR="00382460" w:rsidRPr="006D25C1" w:rsidRDefault="00382460" w:rsidP="00382460">
      <w:pPr>
        <w:ind w:right="16"/>
        <w:jc w:val="center"/>
        <w:rPr>
          <w:sz w:val="24"/>
          <w:szCs w:val="24"/>
        </w:rPr>
      </w:pPr>
      <w:r w:rsidRPr="006D25C1">
        <w:rPr>
          <w:rFonts w:eastAsia="Arial"/>
          <w:b/>
          <w:bCs/>
          <w:sz w:val="24"/>
          <w:szCs w:val="24"/>
        </w:rPr>
        <w:t>Članak 5.</w:t>
      </w:r>
    </w:p>
    <w:p w:rsidR="00382460" w:rsidRPr="006D25C1" w:rsidRDefault="00382460" w:rsidP="00382460">
      <w:pPr>
        <w:spacing w:line="257" w:lineRule="exact"/>
        <w:rPr>
          <w:sz w:val="24"/>
          <w:szCs w:val="24"/>
        </w:rPr>
      </w:pPr>
    </w:p>
    <w:p w:rsidR="00382460" w:rsidRPr="006D25C1" w:rsidRDefault="00382460" w:rsidP="00382460">
      <w:pPr>
        <w:spacing w:line="239" w:lineRule="auto"/>
        <w:ind w:left="4" w:firstLine="708"/>
        <w:jc w:val="both"/>
        <w:rPr>
          <w:sz w:val="24"/>
          <w:szCs w:val="24"/>
        </w:rPr>
      </w:pPr>
      <w:r w:rsidRPr="006D25C1">
        <w:rPr>
          <w:rFonts w:eastAsia="Arial"/>
          <w:sz w:val="24"/>
          <w:szCs w:val="24"/>
        </w:rPr>
        <w:t>Ako se postojeća zgrada uklanja zbog građenja nove zgrade ili kada se postojeća zgrada dograđuje ili nadograđuje, komunalni se doprinos obračunava na razliku u obujmu zgrade u odnosu na prijašnji obujam zgrade.</w:t>
      </w:r>
    </w:p>
    <w:p w:rsidR="00382460" w:rsidRPr="006D25C1" w:rsidRDefault="00382460" w:rsidP="00382460">
      <w:pPr>
        <w:spacing w:line="2" w:lineRule="exact"/>
        <w:rPr>
          <w:sz w:val="24"/>
          <w:szCs w:val="24"/>
        </w:rPr>
      </w:pPr>
    </w:p>
    <w:p w:rsidR="00382460" w:rsidRPr="006D25C1" w:rsidRDefault="00382460" w:rsidP="00382460">
      <w:pPr>
        <w:spacing w:line="262" w:lineRule="auto"/>
        <w:ind w:left="4" w:right="20" w:firstLine="708"/>
        <w:jc w:val="both"/>
        <w:rPr>
          <w:sz w:val="24"/>
          <w:szCs w:val="24"/>
        </w:rPr>
      </w:pPr>
      <w:r w:rsidRPr="006D25C1">
        <w:rPr>
          <w:rFonts w:eastAsia="Arial"/>
          <w:sz w:val="24"/>
          <w:szCs w:val="24"/>
        </w:rPr>
        <w:t xml:space="preserve">Ako je obujam zgrade koja se gradi manji ili jednak obujmu postojeće zgrade koja se uklanja ne plaća se komunalni doprinos, a o čemu </w:t>
      </w:r>
      <w:r w:rsidR="00712AD9">
        <w:rPr>
          <w:rFonts w:eastAsia="Arial"/>
          <w:sz w:val="24"/>
          <w:szCs w:val="24"/>
        </w:rPr>
        <w:t>Jedinstveni u</w:t>
      </w:r>
      <w:r w:rsidRPr="006D25C1">
        <w:rPr>
          <w:rFonts w:eastAsia="Arial"/>
          <w:sz w:val="24"/>
          <w:szCs w:val="24"/>
        </w:rPr>
        <w:t>pravni odjel donosi rješenje kojim se utvrđuje da ne postoji obveza plaćanja komunalnog doprinosa.</w:t>
      </w:r>
    </w:p>
    <w:p w:rsidR="00382460" w:rsidRPr="006D25C1" w:rsidRDefault="00382460" w:rsidP="00382460">
      <w:pPr>
        <w:spacing w:line="261" w:lineRule="auto"/>
        <w:ind w:left="120" w:firstLine="708"/>
        <w:jc w:val="both"/>
        <w:rPr>
          <w:sz w:val="24"/>
          <w:szCs w:val="24"/>
        </w:rPr>
      </w:pPr>
      <w:r w:rsidRPr="006D25C1">
        <w:rPr>
          <w:rFonts w:eastAsia="Arial"/>
          <w:sz w:val="24"/>
          <w:szCs w:val="24"/>
        </w:rPr>
        <w:lastRenderedPageBreak/>
        <w:t>Odredbe ovoga članka na odgovarajući se način primjenjuju i na obračun komunalnog doprinosa za građevine koje nisu zgrade te na obračun komunalnog doprinosa za ozakonjene građevine.</w:t>
      </w:r>
    </w:p>
    <w:p w:rsidR="00382460" w:rsidRPr="006D25C1" w:rsidRDefault="00382460" w:rsidP="00382460">
      <w:pPr>
        <w:spacing w:line="181" w:lineRule="exact"/>
        <w:rPr>
          <w:sz w:val="24"/>
          <w:szCs w:val="24"/>
        </w:rPr>
      </w:pPr>
    </w:p>
    <w:p w:rsidR="00382460" w:rsidRPr="006D25C1" w:rsidRDefault="00382460" w:rsidP="00382460">
      <w:pPr>
        <w:numPr>
          <w:ilvl w:val="0"/>
          <w:numId w:val="20"/>
        </w:numPr>
        <w:tabs>
          <w:tab w:val="left" w:pos="360"/>
        </w:tabs>
        <w:ind w:left="360" w:hanging="244"/>
        <w:rPr>
          <w:rFonts w:eastAsia="Arial"/>
          <w:b/>
          <w:bCs/>
          <w:sz w:val="24"/>
          <w:szCs w:val="24"/>
        </w:rPr>
      </w:pPr>
      <w:r w:rsidRPr="006D25C1">
        <w:rPr>
          <w:rFonts w:eastAsia="Arial"/>
          <w:b/>
          <w:bCs/>
          <w:sz w:val="24"/>
          <w:szCs w:val="24"/>
        </w:rPr>
        <w:t>ZONE ZA PLAĆANJE KOMUNALNOG DOPRINOSA</w:t>
      </w:r>
    </w:p>
    <w:p w:rsidR="00382460" w:rsidRPr="006D25C1" w:rsidRDefault="00382460" w:rsidP="00382460">
      <w:pPr>
        <w:spacing w:line="253" w:lineRule="exact"/>
        <w:rPr>
          <w:sz w:val="24"/>
          <w:szCs w:val="24"/>
        </w:rPr>
      </w:pPr>
    </w:p>
    <w:p w:rsidR="00382460" w:rsidRPr="006D25C1" w:rsidRDefault="00382460" w:rsidP="00382460">
      <w:pPr>
        <w:ind w:right="-119"/>
        <w:jc w:val="center"/>
        <w:rPr>
          <w:sz w:val="24"/>
          <w:szCs w:val="24"/>
        </w:rPr>
      </w:pPr>
      <w:r w:rsidRPr="006D25C1">
        <w:rPr>
          <w:rFonts w:eastAsia="Arial"/>
          <w:b/>
          <w:bCs/>
          <w:sz w:val="24"/>
          <w:szCs w:val="24"/>
        </w:rPr>
        <w:t>Članak 6.</w:t>
      </w:r>
    </w:p>
    <w:p w:rsidR="00382460" w:rsidRPr="006D25C1" w:rsidRDefault="00382460" w:rsidP="00382460">
      <w:pPr>
        <w:spacing w:line="257" w:lineRule="exact"/>
        <w:rPr>
          <w:sz w:val="24"/>
          <w:szCs w:val="24"/>
        </w:rPr>
      </w:pPr>
    </w:p>
    <w:p w:rsidR="00382460" w:rsidRDefault="00382460" w:rsidP="00382460">
      <w:pPr>
        <w:spacing w:line="254" w:lineRule="auto"/>
        <w:ind w:left="120" w:right="20" w:firstLine="708"/>
        <w:jc w:val="both"/>
        <w:rPr>
          <w:rFonts w:eastAsia="Arial"/>
          <w:sz w:val="24"/>
          <w:szCs w:val="24"/>
        </w:rPr>
      </w:pPr>
      <w:r w:rsidRPr="006D25C1">
        <w:rPr>
          <w:rFonts w:eastAsia="Arial"/>
          <w:sz w:val="24"/>
          <w:szCs w:val="24"/>
        </w:rPr>
        <w:t>Zone se određuju s obzirom na uređenost i opremljenost zone komunalnom infrastrukturom i položaj područja zone (udaljenost od središta u naselju, mrežu javnog prijevoza, dostupnost građevina javne i društvene namjene, te opskrbe i usluga, prostorne i prirodne uvjete).</w:t>
      </w:r>
    </w:p>
    <w:p w:rsidR="008A658C" w:rsidRDefault="008A658C" w:rsidP="00382460">
      <w:pPr>
        <w:spacing w:line="254" w:lineRule="auto"/>
        <w:ind w:left="120" w:right="20" w:firstLine="708"/>
        <w:jc w:val="both"/>
        <w:rPr>
          <w:rFonts w:eastAsia="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7474"/>
      </w:tblGrid>
      <w:tr w:rsidR="008A658C" w:rsidRPr="008A658C" w:rsidTr="00124550">
        <w:tc>
          <w:tcPr>
            <w:tcW w:w="1728" w:type="dxa"/>
          </w:tcPr>
          <w:p w:rsidR="008A658C" w:rsidRPr="008A658C" w:rsidRDefault="008A658C" w:rsidP="00124550">
            <w:pPr>
              <w:pStyle w:val="Naslov1"/>
              <w:rPr>
                <w:b w:val="0"/>
              </w:rPr>
            </w:pPr>
            <w:r w:rsidRPr="008A658C">
              <w:rPr>
                <w:b w:val="0"/>
              </w:rPr>
              <w:t>ZONA</w:t>
            </w:r>
          </w:p>
        </w:tc>
        <w:tc>
          <w:tcPr>
            <w:tcW w:w="7560" w:type="dxa"/>
          </w:tcPr>
          <w:p w:rsidR="008A658C" w:rsidRPr="008A658C" w:rsidRDefault="008A658C" w:rsidP="00124550">
            <w:pPr>
              <w:pStyle w:val="Naslov1"/>
              <w:rPr>
                <w:b w:val="0"/>
              </w:rPr>
            </w:pPr>
            <w:r w:rsidRPr="008A658C">
              <w:rPr>
                <w:b w:val="0"/>
              </w:rPr>
              <w:t>NASELJA</w:t>
            </w:r>
          </w:p>
        </w:tc>
      </w:tr>
      <w:tr w:rsidR="008A658C" w:rsidRPr="008A658C" w:rsidTr="00124550">
        <w:tc>
          <w:tcPr>
            <w:tcW w:w="1728" w:type="dxa"/>
          </w:tcPr>
          <w:p w:rsidR="008A658C" w:rsidRPr="008A658C" w:rsidRDefault="008A658C" w:rsidP="00124550">
            <w:pPr>
              <w:pStyle w:val="Naslov1"/>
              <w:rPr>
                <w:b w:val="0"/>
              </w:rPr>
            </w:pPr>
            <w:r w:rsidRPr="008A658C">
              <w:rPr>
                <w:b w:val="0"/>
              </w:rPr>
              <w:t xml:space="preserve">I. </w:t>
            </w:r>
          </w:p>
        </w:tc>
        <w:tc>
          <w:tcPr>
            <w:tcW w:w="7560" w:type="dxa"/>
          </w:tcPr>
          <w:p w:rsidR="008A658C" w:rsidRPr="008A658C" w:rsidRDefault="008A658C" w:rsidP="008A658C">
            <w:pPr>
              <w:pStyle w:val="Naslov1"/>
              <w:jc w:val="both"/>
              <w:rPr>
                <w:b w:val="0"/>
              </w:rPr>
            </w:pPr>
            <w:r w:rsidRPr="008A658C">
              <w:rPr>
                <w:b w:val="0"/>
              </w:rPr>
              <w:t>Naselje Toplice Sv.</w:t>
            </w:r>
            <w:r>
              <w:rPr>
                <w:b w:val="0"/>
              </w:rPr>
              <w:t xml:space="preserve"> </w:t>
            </w:r>
            <w:r w:rsidRPr="008A658C">
              <w:rPr>
                <w:b w:val="0"/>
              </w:rPr>
              <w:t xml:space="preserve">Martin, dio naselja </w:t>
            </w:r>
            <w:proofErr w:type="spellStart"/>
            <w:r w:rsidRPr="008A658C">
              <w:rPr>
                <w:b w:val="0"/>
              </w:rPr>
              <w:t>Jurovčak</w:t>
            </w:r>
            <w:proofErr w:type="spellEnd"/>
            <w:r w:rsidRPr="008A658C">
              <w:rPr>
                <w:b w:val="0"/>
              </w:rPr>
              <w:t xml:space="preserve">, Gornji </w:t>
            </w:r>
            <w:proofErr w:type="spellStart"/>
            <w:r w:rsidRPr="008A658C">
              <w:rPr>
                <w:b w:val="0"/>
              </w:rPr>
              <w:t>Koncovčak</w:t>
            </w:r>
            <w:proofErr w:type="spellEnd"/>
            <w:r w:rsidRPr="008A658C">
              <w:rPr>
                <w:b w:val="0"/>
              </w:rPr>
              <w:t xml:space="preserve">, </w:t>
            </w:r>
            <w:proofErr w:type="spellStart"/>
            <w:r w:rsidRPr="008A658C">
              <w:rPr>
                <w:b w:val="0"/>
              </w:rPr>
              <w:t>Grkaveščak</w:t>
            </w:r>
            <w:proofErr w:type="spellEnd"/>
            <w:r w:rsidRPr="008A658C">
              <w:rPr>
                <w:b w:val="0"/>
              </w:rPr>
              <w:t xml:space="preserve"> – Obuhvat Urbanističkog plana </w:t>
            </w:r>
            <w:r>
              <w:rPr>
                <w:b w:val="0"/>
              </w:rPr>
              <w:t>uređe</w:t>
            </w:r>
            <w:r w:rsidRPr="008A658C">
              <w:rPr>
                <w:b w:val="0"/>
              </w:rPr>
              <w:t xml:space="preserve">nja </w:t>
            </w:r>
            <w:r>
              <w:rPr>
                <w:b w:val="0"/>
              </w:rPr>
              <w:t>Toplica sveti Martin</w:t>
            </w:r>
            <w:r w:rsidRPr="008A658C">
              <w:rPr>
                <w:b w:val="0"/>
              </w:rPr>
              <w:t xml:space="preserve">  </w:t>
            </w:r>
          </w:p>
        </w:tc>
      </w:tr>
      <w:tr w:rsidR="008A658C" w:rsidRPr="008A658C" w:rsidTr="00124550">
        <w:tc>
          <w:tcPr>
            <w:tcW w:w="1728" w:type="dxa"/>
          </w:tcPr>
          <w:p w:rsidR="008A658C" w:rsidRPr="008A658C" w:rsidRDefault="008A658C" w:rsidP="00124550">
            <w:pPr>
              <w:pStyle w:val="Naslov1"/>
              <w:rPr>
                <w:b w:val="0"/>
              </w:rPr>
            </w:pPr>
            <w:r w:rsidRPr="008A658C">
              <w:rPr>
                <w:b w:val="0"/>
              </w:rPr>
              <w:t xml:space="preserve">II. </w:t>
            </w:r>
          </w:p>
        </w:tc>
        <w:tc>
          <w:tcPr>
            <w:tcW w:w="7560" w:type="dxa"/>
          </w:tcPr>
          <w:p w:rsidR="008A658C" w:rsidRPr="008A658C" w:rsidRDefault="008A658C" w:rsidP="00124550">
            <w:pPr>
              <w:pStyle w:val="Naslov1"/>
              <w:jc w:val="both"/>
              <w:rPr>
                <w:b w:val="0"/>
              </w:rPr>
            </w:pPr>
            <w:r w:rsidRPr="008A658C">
              <w:rPr>
                <w:b w:val="0"/>
              </w:rPr>
              <w:t xml:space="preserve">Ulica hrvatskih branitelja u </w:t>
            </w:r>
            <w:proofErr w:type="spellStart"/>
            <w:r w:rsidRPr="008A658C">
              <w:rPr>
                <w:b w:val="0"/>
              </w:rPr>
              <w:t>Žabniku</w:t>
            </w:r>
            <w:proofErr w:type="spellEnd"/>
            <w:r w:rsidRPr="008A658C">
              <w:rPr>
                <w:b w:val="0"/>
              </w:rPr>
              <w:t xml:space="preserve">, </w:t>
            </w:r>
          </w:p>
          <w:p w:rsidR="008A658C" w:rsidRPr="008A658C" w:rsidRDefault="008A658C" w:rsidP="00124550">
            <w:pPr>
              <w:pStyle w:val="Naslov1"/>
              <w:jc w:val="both"/>
              <w:rPr>
                <w:b w:val="0"/>
              </w:rPr>
            </w:pPr>
            <w:r w:rsidRPr="008A658C">
              <w:rPr>
                <w:b w:val="0"/>
              </w:rPr>
              <w:t xml:space="preserve">Murska ulica u Sv. Martinu na Muri, </w:t>
            </w:r>
          </w:p>
          <w:p w:rsidR="008A658C" w:rsidRPr="008A658C" w:rsidRDefault="008A658C" w:rsidP="00124550">
            <w:pPr>
              <w:rPr>
                <w:sz w:val="24"/>
                <w:szCs w:val="24"/>
              </w:rPr>
            </w:pPr>
            <w:r w:rsidRPr="008A658C">
              <w:rPr>
                <w:sz w:val="24"/>
                <w:szCs w:val="24"/>
              </w:rPr>
              <w:t xml:space="preserve">dio naselja </w:t>
            </w:r>
            <w:proofErr w:type="spellStart"/>
            <w:r w:rsidRPr="008A658C">
              <w:rPr>
                <w:sz w:val="24"/>
                <w:szCs w:val="24"/>
              </w:rPr>
              <w:t>Vrhovljan</w:t>
            </w:r>
            <w:proofErr w:type="spellEnd"/>
            <w:r w:rsidRPr="008A658C">
              <w:rPr>
                <w:sz w:val="24"/>
                <w:szCs w:val="24"/>
              </w:rPr>
              <w:t xml:space="preserve">  – Gospodarska zona Sv. Martin (obuhvat DPU)</w:t>
            </w:r>
          </w:p>
        </w:tc>
      </w:tr>
      <w:tr w:rsidR="008A658C" w:rsidRPr="008A658C" w:rsidTr="00124550">
        <w:trPr>
          <w:cantSplit/>
          <w:trHeight w:val="1105"/>
        </w:trPr>
        <w:tc>
          <w:tcPr>
            <w:tcW w:w="1728" w:type="dxa"/>
            <w:tcBorders>
              <w:bottom w:val="single" w:sz="4" w:space="0" w:color="auto"/>
            </w:tcBorders>
          </w:tcPr>
          <w:p w:rsidR="008A658C" w:rsidRPr="008A658C" w:rsidRDefault="008A658C" w:rsidP="00124550">
            <w:pPr>
              <w:pStyle w:val="Naslov1"/>
              <w:rPr>
                <w:b w:val="0"/>
              </w:rPr>
            </w:pPr>
            <w:r w:rsidRPr="008A658C">
              <w:rPr>
                <w:b w:val="0"/>
              </w:rPr>
              <w:t>III.</w:t>
            </w:r>
          </w:p>
          <w:p w:rsidR="008A658C" w:rsidRPr="008A658C" w:rsidRDefault="008A658C" w:rsidP="00124550">
            <w:pPr>
              <w:pStyle w:val="Naslov1"/>
              <w:rPr>
                <w:b w:val="0"/>
              </w:rPr>
            </w:pPr>
            <w:r w:rsidRPr="008A658C">
              <w:rPr>
                <w:b w:val="0"/>
              </w:rPr>
              <w:t xml:space="preserve"> </w:t>
            </w:r>
          </w:p>
        </w:tc>
        <w:tc>
          <w:tcPr>
            <w:tcW w:w="7560" w:type="dxa"/>
            <w:tcBorders>
              <w:bottom w:val="single" w:sz="4" w:space="0" w:color="auto"/>
            </w:tcBorders>
          </w:tcPr>
          <w:p w:rsidR="008A658C" w:rsidRPr="008A658C" w:rsidRDefault="008A658C" w:rsidP="00124550">
            <w:pPr>
              <w:pStyle w:val="Naslov1"/>
              <w:jc w:val="both"/>
              <w:rPr>
                <w:b w:val="0"/>
              </w:rPr>
            </w:pPr>
            <w:r w:rsidRPr="008A658C">
              <w:rPr>
                <w:b w:val="0"/>
              </w:rPr>
              <w:t xml:space="preserve">dio naselja Sveti Martin na Muri (bez Murske ulice), </w:t>
            </w:r>
          </w:p>
          <w:p w:rsidR="008A658C" w:rsidRPr="008A658C" w:rsidRDefault="008A658C" w:rsidP="00124550">
            <w:pPr>
              <w:pStyle w:val="Naslov1"/>
              <w:jc w:val="both"/>
              <w:rPr>
                <w:b w:val="0"/>
              </w:rPr>
            </w:pPr>
            <w:r w:rsidRPr="008A658C">
              <w:rPr>
                <w:b w:val="0"/>
              </w:rPr>
              <w:t xml:space="preserve">dio naselja </w:t>
            </w:r>
            <w:proofErr w:type="spellStart"/>
            <w:r w:rsidRPr="008A658C">
              <w:rPr>
                <w:b w:val="0"/>
              </w:rPr>
              <w:t>Vrhovljan</w:t>
            </w:r>
            <w:proofErr w:type="spellEnd"/>
            <w:r w:rsidRPr="008A658C">
              <w:rPr>
                <w:b w:val="0"/>
              </w:rPr>
              <w:t xml:space="preserve"> (bez Gospodarske ulice – gospodarske zone), </w:t>
            </w:r>
          </w:p>
          <w:p w:rsidR="008A658C" w:rsidRPr="008A658C" w:rsidRDefault="008A658C" w:rsidP="00124550">
            <w:pPr>
              <w:pStyle w:val="Naslov1"/>
              <w:jc w:val="both"/>
              <w:rPr>
                <w:b w:val="0"/>
              </w:rPr>
            </w:pPr>
            <w:r w:rsidRPr="008A658C">
              <w:rPr>
                <w:b w:val="0"/>
              </w:rPr>
              <w:t xml:space="preserve">dio naselja </w:t>
            </w:r>
            <w:proofErr w:type="spellStart"/>
            <w:r w:rsidRPr="008A658C">
              <w:rPr>
                <w:b w:val="0"/>
              </w:rPr>
              <w:t>Žabnik</w:t>
            </w:r>
            <w:proofErr w:type="spellEnd"/>
            <w:r w:rsidRPr="008A658C">
              <w:rPr>
                <w:b w:val="0"/>
              </w:rPr>
              <w:t xml:space="preserve"> (bez Ulice hrvatskih branitelja),</w:t>
            </w:r>
          </w:p>
          <w:p w:rsidR="008A658C" w:rsidRPr="008A658C" w:rsidRDefault="008A658C" w:rsidP="00124550">
            <w:pPr>
              <w:pStyle w:val="Naslov1"/>
              <w:jc w:val="both"/>
            </w:pPr>
            <w:r w:rsidRPr="008A658C">
              <w:rPr>
                <w:b w:val="0"/>
              </w:rPr>
              <w:t xml:space="preserve"> Marof, </w:t>
            </w:r>
            <w:proofErr w:type="spellStart"/>
            <w:r w:rsidRPr="008A658C">
              <w:rPr>
                <w:b w:val="0"/>
              </w:rPr>
              <w:t>Brezovec</w:t>
            </w:r>
            <w:proofErr w:type="spellEnd"/>
            <w:r w:rsidRPr="008A658C">
              <w:rPr>
                <w:b w:val="0"/>
              </w:rPr>
              <w:t xml:space="preserve">, </w:t>
            </w:r>
            <w:proofErr w:type="spellStart"/>
            <w:r w:rsidRPr="008A658C">
              <w:rPr>
                <w:b w:val="0"/>
              </w:rPr>
              <w:t>Lapšina</w:t>
            </w:r>
            <w:proofErr w:type="spellEnd"/>
            <w:r w:rsidRPr="008A658C">
              <w:rPr>
                <w:b w:val="0"/>
              </w:rPr>
              <w:t xml:space="preserve">, </w:t>
            </w:r>
            <w:proofErr w:type="spellStart"/>
            <w:r w:rsidRPr="008A658C">
              <w:rPr>
                <w:b w:val="0"/>
              </w:rPr>
              <w:t>Jurovec</w:t>
            </w:r>
            <w:proofErr w:type="spellEnd"/>
            <w:r w:rsidRPr="008A658C">
              <w:rPr>
                <w:b w:val="0"/>
              </w:rPr>
              <w:t xml:space="preserve"> i </w:t>
            </w:r>
            <w:proofErr w:type="spellStart"/>
            <w:r w:rsidRPr="008A658C">
              <w:rPr>
                <w:b w:val="0"/>
              </w:rPr>
              <w:t>Čestijanec</w:t>
            </w:r>
            <w:proofErr w:type="spellEnd"/>
            <w:r w:rsidRPr="008A658C">
              <w:rPr>
                <w:b w:val="0"/>
              </w:rPr>
              <w:t xml:space="preserve"> </w:t>
            </w:r>
          </w:p>
        </w:tc>
      </w:tr>
      <w:tr w:rsidR="008A658C" w:rsidRPr="008A658C" w:rsidTr="00124550">
        <w:tc>
          <w:tcPr>
            <w:tcW w:w="1728" w:type="dxa"/>
          </w:tcPr>
          <w:p w:rsidR="008A658C" w:rsidRPr="008A658C" w:rsidRDefault="008A658C" w:rsidP="00124550">
            <w:pPr>
              <w:pStyle w:val="Naslov1"/>
              <w:rPr>
                <w:b w:val="0"/>
              </w:rPr>
            </w:pPr>
            <w:r w:rsidRPr="008A658C">
              <w:rPr>
                <w:b w:val="0"/>
              </w:rPr>
              <w:t xml:space="preserve">IV. </w:t>
            </w:r>
          </w:p>
        </w:tc>
        <w:tc>
          <w:tcPr>
            <w:tcW w:w="7560" w:type="dxa"/>
          </w:tcPr>
          <w:p w:rsidR="008A658C" w:rsidRPr="008A658C" w:rsidRDefault="008A658C" w:rsidP="00124550">
            <w:pPr>
              <w:pStyle w:val="Naslov1"/>
              <w:jc w:val="both"/>
              <w:rPr>
                <w:b w:val="0"/>
              </w:rPr>
            </w:pPr>
            <w:proofErr w:type="spellStart"/>
            <w:r w:rsidRPr="008A658C">
              <w:rPr>
                <w:b w:val="0"/>
              </w:rPr>
              <w:t>Gradiščak</w:t>
            </w:r>
            <w:proofErr w:type="spellEnd"/>
            <w:r w:rsidRPr="008A658C">
              <w:rPr>
                <w:b w:val="0"/>
              </w:rPr>
              <w:t xml:space="preserve">, </w:t>
            </w:r>
            <w:proofErr w:type="spellStart"/>
            <w:r w:rsidRPr="008A658C">
              <w:rPr>
                <w:b w:val="0"/>
              </w:rPr>
              <w:t>Kapelščak</w:t>
            </w:r>
            <w:proofErr w:type="spellEnd"/>
            <w:r w:rsidRPr="008A658C">
              <w:rPr>
                <w:b w:val="0"/>
              </w:rPr>
              <w:t xml:space="preserve">, </w:t>
            </w:r>
          </w:p>
          <w:p w:rsidR="008A658C" w:rsidRPr="008A658C" w:rsidRDefault="008A658C" w:rsidP="008A658C">
            <w:pPr>
              <w:pStyle w:val="Naslov1"/>
              <w:jc w:val="both"/>
              <w:rPr>
                <w:b w:val="0"/>
              </w:rPr>
            </w:pPr>
            <w:r w:rsidRPr="008A658C">
              <w:rPr>
                <w:b w:val="0"/>
              </w:rPr>
              <w:t xml:space="preserve">dio naselja Gornji </w:t>
            </w:r>
            <w:proofErr w:type="spellStart"/>
            <w:r w:rsidRPr="008A658C">
              <w:rPr>
                <w:b w:val="0"/>
              </w:rPr>
              <w:t>Koncovčak</w:t>
            </w:r>
            <w:proofErr w:type="spellEnd"/>
            <w:r w:rsidRPr="008A658C">
              <w:rPr>
                <w:b w:val="0"/>
              </w:rPr>
              <w:t xml:space="preserve">, dio naselja </w:t>
            </w:r>
            <w:proofErr w:type="spellStart"/>
            <w:r w:rsidRPr="008A658C">
              <w:rPr>
                <w:b w:val="0"/>
              </w:rPr>
              <w:t>Jurovčak</w:t>
            </w:r>
            <w:proofErr w:type="spellEnd"/>
            <w:r w:rsidRPr="008A658C">
              <w:rPr>
                <w:b w:val="0"/>
              </w:rPr>
              <w:t xml:space="preserve"> i dio naselja </w:t>
            </w:r>
            <w:proofErr w:type="spellStart"/>
            <w:r w:rsidRPr="008A658C">
              <w:rPr>
                <w:b w:val="0"/>
              </w:rPr>
              <w:t>Grkaveščak</w:t>
            </w:r>
            <w:proofErr w:type="spellEnd"/>
            <w:r w:rsidRPr="008A658C">
              <w:rPr>
                <w:b w:val="0"/>
              </w:rPr>
              <w:t xml:space="preserve"> (neobuhvaćeni dijelovi naselja UPU </w:t>
            </w:r>
            <w:r>
              <w:rPr>
                <w:b w:val="0"/>
              </w:rPr>
              <w:t>Toplica Sveti Martin</w:t>
            </w:r>
            <w:r w:rsidRPr="008A658C">
              <w:rPr>
                <w:b w:val="0"/>
              </w:rPr>
              <w:t xml:space="preserve">) </w:t>
            </w:r>
          </w:p>
        </w:tc>
      </w:tr>
    </w:tbl>
    <w:p w:rsidR="008A658C" w:rsidRPr="006D25C1" w:rsidRDefault="008A658C" w:rsidP="00382460">
      <w:pPr>
        <w:spacing w:line="254" w:lineRule="auto"/>
        <w:ind w:left="120" w:right="20" w:firstLine="708"/>
        <w:jc w:val="both"/>
        <w:rPr>
          <w:sz w:val="24"/>
          <w:szCs w:val="24"/>
        </w:rPr>
      </w:pPr>
    </w:p>
    <w:p w:rsidR="00382460" w:rsidRPr="000F148D" w:rsidRDefault="00382460" w:rsidP="00382460">
      <w:pPr>
        <w:ind w:left="120" w:firstLine="708"/>
        <w:jc w:val="both"/>
        <w:rPr>
          <w:rFonts w:eastAsia="Arial"/>
          <w:sz w:val="24"/>
          <w:szCs w:val="24"/>
        </w:rPr>
      </w:pPr>
      <w:r w:rsidRPr="006D25C1">
        <w:rPr>
          <w:rFonts w:eastAsia="Arial"/>
          <w:sz w:val="24"/>
          <w:szCs w:val="24"/>
        </w:rPr>
        <w:t xml:space="preserve">Za naselja koja unutar svojih građevinskih područja temeljem prostornog plana nemaju razgraničene gospodarsko-proizvodne od ostalih zona, u slučajevima kada se radi o izgradnji građevina na prostorima koji imaju karakter radno-gospodarskih zona, </w:t>
      </w:r>
      <w:r w:rsidR="008A658C">
        <w:rPr>
          <w:rFonts w:eastAsia="Arial"/>
          <w:sz w:val="24"/>
          <w:szCs w:val="24"/>
        </w:rPr>
        <w:t>Općinsko vijeće</w:t>
      </w:r>
      <w:r w:rsidRPr="006D25C1">
        <w:rPr>
          <w:rFonts w:eastAsia="Arial"/>
          <w:sz w:val="24"/>
          <w:szCs w:val="24"/>
        </w:rPr>
        <w:t xml:space="preserve"> može  donijeti zaključak da se u tim slučajevima za obračun plaćanja komunalnog doprinosa primjeni jedinična vr</w:t>
      </w:r>
      <w:r>
        <w:rPr>
          <w:rFonts w:eastAsia="Arial"/>
          <w:sz w:val="24"/>
          <w:szCs w:val="24"/>
        </w:rPr>
        <w:t>ijednost komunalnog doprinosa II</w:t>
      </w:r>
      <w:r w:rsidRPr="006D25C1">
        <w:rPr>
          <w:rFonts w:eastAsia="Arial"/>
          <w:sz w:val="24"/>
          <w:szCs w:val="24"/>
        </w:rPr>
        <w:t xml:space="preserve"> zone.</w:t>
      </w:r>
    </w:p>
    <w:p w:rsidR="00382460" w:rsidRPr="006D25C1" w:rsidRDefault="00382460" w:rsidP="00382460">
      <w:pPr>
        <w:spacing w:line="1" w:lineRule="exact"/>
        <w:rPr>
          <w:sz w:val="24"/>
          <w:szCs w:val="24"/>
        </w:rPr>
      </w:pPr>
    </w:p>
    <w:p w:rsidR="00382460" w:rsidRPr="006D25C1" w:rsidRDefault="00382460" w:rsidP="00382460">
      <w:pPr>
        <w:spacing w:line="283" w:lineRule="auto"/>
        <w:ind w:left="120" w:right="20" w:firstLine="708"/>
        <w:jc w:val="both"/>
        <w:rPr>
          <w:sz w:val="24"/>
          <w:szCs w:val="24"/>
        </w:rPr>
      </w:pPr>
      <w:r w:rsidRPr="006D25C1">
        <w:rPr>
          <w:rFonts w:eastAsia="Arial"/>
          <w:sz w:val="24"/>
          <w:szCs w:val="24"/>
        </w:rPr>
        <w:t>Odredba iz prethodnog stavka može se primjenjivati do donošenja odgovarajućih prostornih planova za pojedina naselja.</w:t>
      </w:r>
    </w:p>
    <w:p w:rsidR="00382460" w:rsidRPr="006D25C1" w:rsidRDefault="00382460" w:rsidP="00382460">
      <w:pPr>
        <w:spacing w:line="158" w:lineRule="exact"/>
        <w:rPr>
          <w:sz w:val="24"/>
          <w:szCs w:val="24"/>
        </w:rPr>
      </w:pPr>
    </w:p>
    <w:p w:rsidR="00382460" w:rsidRPr="006D25C1" w:rsidRDefault="00382460" w:rsidP="00382460">
      <w:pPr>
        <w:numPr>
          <w:ilvl w:val="0"/>
          <w:numId w:val="21"/>
        </w:numPr>
        <w:tabs>
          <w:tab w:val="left" w:pos="420"/>
        </w:tabs>
        <w:ind w:left="420" w:hanging="304"/>
        <w:rPr>
          <w:rFonts w:eastAsia="Arial"/>
          <w:b/>
          <w:bCs/>
          <w:sz w:val="24"/>
          <w:szCs w:val="24"/>
        </w:rPr>
      </w:pPr>
      <w:r w:rsidRPr="006D25C1">
        <w:rPr>
          <w:rFonts w:eastAsia="Arial"/>
          <w:b/>
          <w:bCs/>
          <w:sz w:val="24"/>
          <w:szCs w:val="24"/>
        </w:rPr>
        <w:t>JEDINIČNA VRIJEDNOST KOMUNALNOG DOPRINOSA</w:t>
      </w:r>
    </w:p>
    <w:p w:rsidR="00382460" w:rsidRPr="006D25C1" w:rsidRDefault="00382460" w:rsidP="00382460">
      <w:pPr>
        <w:spacing w:line="253" w:lineRule="exact"/>
        <w:rPr>
          <w:sz w:val="24"/>
          <w:szCs w:val="24"/>
        </w:rPr>
      </w:pPr>
    </w:p>
    <w:p w:rsidR="00382460" w:rsidRPr="006D25C1" w:rsidRDefault="00382460" w:rsidP="00382460">
      <w:pPr>
        <w:ind w:left="4160"/>
        <w:rPr>
          <w:sz w:val="24"/>
          <w:szCs w:val="24"/>
        </w:rPr>
      </w:pPr>
      <w:r w:rsidRPr="006D25C1">
        <w:rPr>
          <w:rFonts w:eastAsia="Arial"/>
          <w:b/>
          <w:bCs/>
          <w:sz w:val="24"/>
          <w:szCs w:val="24"/>
        </w:rPr>
        <w:t>Članak 7.</w:t>
      </w:r>
    </w:p>
    <w:p w:rsidR="00382460" w:rsidRPr="006D25C1" w:rsidRDefault="00382460" w:rsidP="00382460">
      <w:pPr>
        <w:spacing w:line="254" w:lineRule="exact"/>
        <w:rPr>
          <w:sz w:val="24"/>
          <w:szCs w:val="24"/>
        </w:rPr>
      </w:pPr>
    </w:p>
    <w:p w:rsidR="00382460" w:rsidRPr="006D25C1" w:rsidRDefault="00382460" w:rsidP="00382460">
      <w:pPr>
        <w:ind w:left="820"/>
        <w:rPr>
          <w:sz w:val="24"/>
          <w:szCs w:val="24"/>
        </w:rPr>
      </w:pPr>
      <w:r w:rsidRPr="006D25C1">
        <w:rPr>
          <w:rFonts w:eastAsia="Arial"/>
          <w:sz w:val="24"/>
          <w:szCs w:val="24"/>
        </w:rPr>
        <w:t>Utvrđuje se jedinična vrijednost komunalnog doprinosa</w:t>
      </w:r>
      <w:r w:rsidRPr="006D25C1">
        <w:rPr>
          <w:rFonts w:eastAsia="Arial"/>
          <w:color w:val="0070C0"/>
          <w:sz w:val="24"/>
          <w:szCs w:val="24"/>
        </w:rPr>
        <w:t>:</w:t>
      </w:r>
    </w:p>
    <w:p w:rsidR="00382460" w:rsidRPr="006D25C1" w:rsidRDefault="00382460" w:rsidP="00382460">
      <w:pPr>
        <w:spacing w:line="176" w:lineRule="exact"/>
        <w:rPr>
          <w:sz w:val="24"/>
          <w:szCs w:val="24"/>
        </w:rPr>
      </w:pPr>
    </w:p>
    <w:p w:rsidR="00382460" w:rsidRPr="006D25C1" w:rsidRDefault="00382460" w:rsidP="00382460">
      <w:pPr>
        <w:spacing w:line="200" w:lineRule="exact"/>
        <w:rPr>
          <w:sz w:val="24"/>
          <w:szCs w:val="24"/>
        </w:rPr>
      </w:pPr>
    </w:p>
    <w:p w:rsidR="00382460" w:rsidRPr="006D25C1" w:rsidRDefault="00382460" w:rsidP="00382460">
      <w:pPr>
        <w:spacing w:line="326" w:lineRule="exact"/>
        <w:rPr>
          <w:sz w:val="24"/>
          <w:szCs w:val="24"/>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984"/>
        <w:gridCol w:w="1701"/>
        <w:gridCol w:w="1843"/>
      </w:tblGrid>
      <w:tr w:rsidR="00712AD9" w:rsidRPr="007F151D" w:rsidTr="00124550">
        <w:tc>
          <w:tcPr>
            <w:tcW w:w="1701" w:type="dxa"/>
            <w:tcBorders>
              <w:tl2br w:val="single" w:sz="4" w:space="0" w:color="auto"/>
            </w:tcBorders>
          </w:tcPr>
          <w:p w:rsidR="00712AD9" w:rsidRPr="007F151D" w:rsidRDefault="00712AD9" w:rsidP="00124550">
            <w:pPr>
              <w:pStyle w:val="Naslov3"/>
              <w:spacing w:before="0"/>
              <w:jc w:val="right"/>
              <w:rPr>
                <w:rFonts w:asciiTheme="minorHAnsi" w:hAnsiTheme="minorHAnsi"/>
                <w:b/>
              </w:rPr>
            </w:pPr>
            <w:r w:rsidRPr="007F151D">
              <w:rPr>
                <w:rFonts w:asciiTheme="minorHAnsi" w:hAnsiTheme="minorHAnsi"/>
              </w:rPr>
              <w:t>ZONA</w:t>
            </w:r>
          </w:p>
          <w:p w:rsidR="00712AD9" w:rsidRPr="007F151D" w:rsidRDefault="00712AD9" w:rsidP="00124550">
            <w:pPr>
              <w:pStyle w:val="Naslov4"/>
              <w:spacing w:before="0"/>
              <w:jc w:val="both"/>
              <w:rPr>
                <w:rFonts w:asciiTheme="minorHAnsi" w:hAnsiTheme="minorHAnsi"/>
                <w:b/>
                <w:i w:val="0"/>
              </w:rPr>
            </w:pPr>
          </w:p>
          <w:p w:rsidR="00712AD9" w:rsidRPr="007F151D" w:rsidRDefault="00712AD9" w:rsidP="00124550">
            <w:pPr>
              <w:pStyle w:val="Naslov4"/>
              <w:spacing w:before="0"/>
              <w:jc w:val="both"/>
              <w:rPr>
                <w:rFonts w:asciiTheme="minorHAnsi" w:hAnsiTheme="minorHAnsi"/>
                <w:b/>
                <w:i w:val="0"/>
              </w:rPr>
            </w:pPr>
            <w:r>
              <w:rPr>
                <w:rFonts w:asciiTheme="minorHAnsi" w:hAnsiTheme="minorHAnsi"/>
                <w:i w:val="0"/>
              </w:rPr>
              <w:t>Jed. vrijednost</w:t>
            </w:r>
          </w:p>
        </w:tc>
        <w:tc>
          <w:tcPr>
            <w:tcW w:w="1701" w:type="dxa"/>
          </w:tcPr>
          <w:p w:rsidR="00712AD9" w:rsidRPr="007F151D" w:rsidRDefault="00712AD9" w:rsidP="00124550">
            <w:pPr>
              <w:tabs>
                <w:tab w:val="num" w:pos="360"/>
              </w:tabs>
              <w:jc w:val="center"/>
              <w:rPr>
                <w:bCs/>
              </w:rPr>
            </w:pPr>
            <w:r w:rsidRPr="007F151D">
              <w:rPr>
                <w:bCs/>
              </w:rPr>
              <w:t>I.</w:t>
            </w:r>
          </w:p>
        </w:tc>
        <w:tc>
          <w:tcPr>
            <w:tcW w:w="1984" w:type="dxa"/>
          </w:tcPr>
          <w:p w:rsidR="00712AD9" w:rsidRPr="007F151D" w:rsidRDefault="00712AD9" w:rsidP="00124550">
            <w:pPr>
              <w:tabs>
                <w:tab w:val="num" w:pos="360"/>
              </w:tabs>
              <w:jc w:val="center"/>
              <w:rPr>
                <w:bCs/>
              </w:rPr>
            </w:pPr>
            <w:r w:rsidRPr="007F151D">
              <w:rPr>
                <w:bCs/>
              </w:rPr>
              <w:t>II.</w:t>
            </w:r>
          </w:p>
        </w:tc>
        <w:tc>
          <w:tcPr>
            <w:tcW w:w="1701" w:type="dxa"/>
          </w:tcPr>
          <w:p w:rsidR="00712AD9" w:rsidRPr="007F151D" w:rsidRDefault="00712AD9" w:rsidP="00124550">
            <w:pPr>
              <w:tabs>
                <w:tab w:val="num" w:pos="360"/>
              </w:tabs>
              <w:jc w:val="center"/>
              <w:rPr>
                <w:bCs/>
              </w:rPr>
            </w:pPr>
            <w:r w:rsidRPr="007F151D">
              <w:rPr>
                <w:bCs/>
              </w:rPr>
              <w:t>III.</w:t>
            </w:r>
          </w:p>
        </w:tc>
        <w:tc>
          <w:tcPr>
            <w:tcW w:w="1843" w:type="dxa"/>
          </w:tcPr>
          <w:p w:rsidR="00712AD9" w:rsidRPr="007F151D" w:rsidRDefault="00712AD9" w:rsidP="00124550">
            <w:pPr>
              <w:tabs>
                <w:tab w:val="num" w:pos="360"/>
              </w:tabs>
              <w:jc w:val="center"/>
              <w:rPr>
                <w:bCs/>
              </w:rPr>
            </w:pPr>
            <w:r w:rsidRPr="007F151D">
              <w:rPr>
                <w:bCs/>
              </w:rPr>
              <w:t>IV.</w:t>
            </w:r>
          </w:p>
        </w:tc>
      </w:tr>
    </w:tbl>
    <w:p w:rsidR="00712AD9" w:rsidRDefault="00712AD9" w:rsidP="00712AD9">
      <w:pPr>
        <w:spacing w:line="158" w:lineRule="exact"/>
        <w:rPr>
          <w:sz w:val="24"/>
          <w:szCs w:val="24"/>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984"/>
        <w:gridCol w:w="1701"/>
        <w:gridCol w:w="1843"/>
      </w:tblGrid>
      <w:tr w:rsidR="00712AD9" w:rsidRPr="007F151D" w:rsidTr="00124550">
        <w:tc>
          <w:tcPr>
            <w:tcW w:w="1701" w:type="dxa"/>
            <w:shd w:val="clear" w:color="auto" w:fill="D9D9D9"/>
          </w:tcPr>
          <w:p w:rsidR="00712AD9" w:rsidRDefault="00712AD9" w:rsidP="00124550">
            <w:pPr>
              <w:tabs>
                <w:tab w:val="num" w:pos="360"/>
              </w:tabs>
              <w:jc w:val="both"/>
              <w:rPr>
                <w:bCs/>
              </w:rPr>
            </w:pPr>
            <w:r>
              <w:rPr>
                <w:bCs/>
              </w:rPr>
              <w:t>kn/m3</w:t>
            </w:r>
          </w:p>
          <w:p w:rsidR="00712AD9" w:rsidRPr="007F151D" w:rsidRDefault="00712AD9" w:rsidP="00124550">
            <w:pPr>
              <w:tabs>
                <w:tab w:val="num" w:pos="360"/>
              </w:tabs>
              <w:jc w:val="both"/>
              <w:rPr>
                <w:bCs/>
              </w:rPr>
            </w:pPr>
            <w:r>
              <w:rPr>
                <w:bCs/>
              </w:rPr>
              <w:t>kn/m2</w:t>
            </w:r>
          </w:p>
        </w:tc>
        <w:tc>
          <w:tcPr>
            <w:tcW w:w="1701" w:type="dxa"/>
            <w:shd w:val="clear" w:color="auto" w:fill="D9D9D9"/>
          </w:tcPr>
          <w:p w:rsidR="00712AD9" w:rsidRPr="007F151D" w:rsidRDefault="00712AD9" w:rsidP="00124550">
            <w:pPr>
              <w:tabs>
                <w:tab w:val="num" w:pos="360"/>
              </w:tabs>
              <w:jc w:val="both"/>
              <w:rPr>
                <w:bCs/>
              </w:rPr>
            </w:pPr>
            <w:r>
              <w:rPr>
                <w:bCs/>
              </w:rPr>
              <w:t xml:space="preserve">24,00 </w:t>
            </w:r>
          </w:p>
        </w:tc>
        <w:tc>
          <w:tcPr>
            <w:tcW w:w="1984" w:type="dxa"/>
            <w:shd w:val="clear" w:color="auto" w:fill="D9D9D9"/>
          </w:tcPr>
          <w:p w:rsidR="00712AD9" w:rsidRPr="007F151D" w:rsidRDefault="00712AD9" w:rsidP="00124550">
            <w:pPr>
              <w:tabs>
                <w:tab w:val="num" w:pos="360"/>
              </w:tabs>
              <w:jc w:val="both"/>
              <w:rPr>
                <w:bCs/>
              </w:rPr>
            </w:pPr>
            <w:r>
              <w:rPr>
                <w:bCs/>
              </w:rPr>
              <w:t xml:space="preserve">15,00 </w:t>
            </w:r>
          </w:p>
          <w:p w:rsidR="00712AD9" w:rsidRPr="007F151D" w:rsidRDefault="00712AD9" w:rsidP="00124550">
            <w:pPr>
              <w:tabs>
                <w:tab w:val="num" w:pos="360"/>
              </w:tabs>
              <w:jc w:val="both"/>
              <w:rPr>
                <w:bCs/>
              </w:rPr>
            </w:pPr>
          </w:p>
        </w:tc>
        <w:tc>
          <w:tcPr>
            <w:tcW w:w="1701" w:type="dxa"/>
            <w:shd w:val="clear" w:color="auto" w:fill="D9D9D9"/>
          </w:tcPr>
          <w:p w:rsidR="00712AD9" w:rsidRPr="007F151D" w:rsidRDefault="00712AD9" w:rsidP="00124550">
            <w:pPr>
              <w:tabs>
                <w:tab w:val="num" w:pos="360"/>
              </w:tabs>
              <w:jc w:val="both"/>
              <w:rPr>
                <w:bCs/>
              </w:rPr>
            </w:pPr>
            <w:r>
              <w:rPr>
                <w:bCs/>
              </w:rPr>
              <w:t xml:space="preserve">12,00 </w:t>
            </w:r>
          </w:p>
        </w:tc>
        <w:tc>
          <w:tcPr>
            <w:tcW w:w="1843" w:type="dxa"/>
            <w:shd w:val="clear" w:color="auto" w:fill="D9D9D9"/>
          </w:tcPr>
          <w:p w:rsidR="00712AD9" w:rsidRPr="007F151D" w:rsidRDefault="00712AD9" w:rsidP="00124550">
            <w:pPr>
              <w:tabs>
                <w:tab w:val="num" w:pos="360"/>
              </w:tabs>
              <w:jc w:val="both"/>
              <w:rPr>
                <w:bCs/>
              </w:rPr>
            </w:pPr>
            <w:r>
              <w:rPr>
                <w:bCs/>
              </w:rPr>
              <w:t>10</w:t>
            </w:r>
            <w:r w:rsidRPr="007F151D">
              <w:rPr>
                <w:bCs/>
              </w:rPr>
              <w:t>,</w:t>
            </w:r>
            <w:r>
              <w:rPr>
                <w:bCs/>
              </w:rPr>
              <w:t xml:space="preserve">00 </w:t>
            </w:r>
          </w:p>
        </w:tc>
      </w:tr>
    </w:tbl>
    <w:p w:rsidR="00712AD9" w:rsidRDefault="00712AD9" w:rsidP="00712AD9">
      <w:pPr>
        <w:spacing w:line="158" w:lineRule="exact"/>
        <w:rPr>
          <w:sz w:val="24"/>
          <w:szCs w:val="24"/>
        </w:rPr>
      </w:pPr>
    </w:p>
    <w:p w:rsidR="00382460" w:rsidRPr="006D25C1" w:rsidRDefault="00382460" w:rsidP="00382460">
      <w:pPr>
        <w:rPr>
          <w:sz w:val="24"/>
          <w:szCs w:val="24"/>
        </w:rPr>
        <w:sectPr w:rsidR="00382460" w:rsidRPr="006D25C1">
          <w:pgSz w:w="11900" w:h="16838"/>
          <w:pgMar w:top="1253" w:right="1406" w:bottom="446" w:left="1300" w:header="0" w:footer="0" w:gutter="0"/>
          <w:cols w:space="720" w:equalWidth="0">
            <w:col w:w="9200"/>
          </w:cols>
        </w:sectPr>
      </w:pPr>
    </w:p>
    <w:p w:rsidR="00712AD9" w:rsidRDefault="00712AD9" w:rsidP="00382460">
      <w:pPr>
        <w:spacing w:line="158" w:lineRule="exact"/>
        <w:rPr>
          <w:sz w:val="24"/>
          <w:szCs w:val="24"/>
        </w:rPr>
      </w:pPr>
    </w:p>
    <w:p w:rsidR="0091591D" w:rsidRPr="0091591D" w:rsidRDefault="0091591D" w:rsidP="0091591D">
      <w:pPr>
        <w:jc w:val="both"/>
        <w:rPr>
          <w:sz w:val="24"/>
          <w:szCs w:val="24"/>
        </w:rPr>
      </w:pPr>
      <w:r>
        <w:rPr>
          <w:sz w:val="24"/>
          <w:szCs w:val="24"/>
        </w:rPr>
        <w:t xml:space="preserve">       Za</w:t>
      </w:r>
      <w:r w:rsidRPr="0091591D">
        <w:rPr>
          <w:sz w:val="24"/>
          <w:szCs w:val="24"/>
        </w:rPr>
        <w:t xml:space="preserve"> gospodarske građevine namijenjene isključivo za poljoprivrednu djelatnost i </w:t>
      </w:r>
      <w:r>
        <w:rPr>
          <w:sz w:val="24"/>
          <w:szCs w:val="24"/>
        </w:rPr>
        <w:t>za</w:t>
      </w:r>
      <w:r w:rsidRPr="0091591D">
        <w:rPr>
          <w:sz w:val="24"/>
          <w:szCs w:val="24"/>
        </w:rPr>
        <w:t xml:space="preserve"> pomoćne građevine (garaža, spremište, drvarnica i sl.) na građevnoj čestici visina komunalno</w:t>
      </w:r>
      <w:r>
        <w:rPr>
          <w:sz w:val="24"/>
          <w:szCs w:val="24"/>
        </w:rPr>
        <w:t>g doprinosa umanjuje se za 50%  u odnosu na jedinične cijene po zonama.</w:t>
      </w:r>
    </w:p>
    <w:p w:rsidR="0091591D" w:rsidRPr="0091591D" w:rsidRDefault="0091591D" w:rsidP="0091591D">
      <w:pPr>
        <w:jc w:val="both"/>
        <w:rPr>
          <w:sz w:val="24"/>
          <w:szCs w:val="24"/>
        </w:rPr>
      </w:pPr>
      <w:r>
        <w:rPr>
          <w:sz w:val="24"/>
          <w:szCs w:val="24"/>
        </w:rPr>
        <w:t xml:space="preserve">       Za</w:t>
      </w:r>
      <w:r w:rsidRPr="0091591D">
        <w:rPr>
          <w:sz w:val="24"/>
          <w:szCs w:val="24"/>
        </w:rPr>
        <w:t xml:space="preserve"> kuće za odmor, odnosno druge ili treće građevine visina komunalno</w:t>
      </w:r>
      <w:r>
        <w:rPr>
          <w:sz w:val="24"/>
          <w:szCs w:val="24"/>
        </w:rPr>
        <w:t>g doprinosa povećava se za 50 %</w:t>
      </w:r>
      <w:r w:rsidRPr="0091591D">
        <w:rPr>
          <w:sz w:val="24"/>
          <w:szCs w:val="24"/>
        </w:rPr>
        <w:t xml:space="preserve">  </w:t>
      </w:r>
      <w:r>
        <w:rPr>
          <w:sz w:val="24"/>
          <w:szCs w:val="24"/>
        </w:rPr>
        <w:t>u odnosu na jedinične cijene po zonama.</w:t>
      </w:r>
    </w:p>
    <w:p w:rsidR="00712AD9" w:rsidRPr="0091591D" w:rsidRDefault="00712AD9" w:rsidP="00382460">
      <w:pPr>
        <w:spacing w:line="158" w:lineRule="exact"/>
        <w:rPr>
          <w:sz w:val="24"/>
          <w:szCs w:val="24"/>
        </w:rPr>
      </w:pPr>
    </w:p>
    <w:p w:rsidR="00712AD9" w:rsidRDefault="00712AD9" w:rsidP="00382460">
      <w:pPr>
        <w:spacing w:line="158" w:lineRule="exact"/>
        <w:rPr>
          <w:sz w:val="24"/>
          <w:szCs w:val="24"/>
        </w:rPr>
      </w:pPr>
    </w:p>
    <w:p w:rsidR="00712AD9" w:rsidRDefault="00712AD9" w:rsidP="00382460">
      <w:pPr>
        <w:spacing w:line="158" w:lineRule="exact"/>
        <w:rPr>
          <w:sz w:val="24"/>
          <w:szCs w:val="24"/>
        </w:rPr>
      </w:pPr>
    </w:p>
    <w:p w:rsidR="00712AD9" w:rsidRPr="006D25C1" w:rsidRDefault="00712AD9" w:rsidP="00382460">
      <w:pPr>
        <w:spacing w:line="158" w:lineRule="exact"/>
        <w:rPr>
          <w:sz w:val="24"/>
          <w:szCs w:val="24"/>
        </w:rPr>
      </w:pPr>
    </w:p>
    <w:p w:rsidR="00382460" w:rsidRPr="006D25C1" w:rsidRDefault="00382460" w:rsidP="00382460">
      <w:pPr>
        <w:ind w:left="280"/>
        <w:rPr>
          <w:sz w:val="24"/>
          <w:szCs w:val="24"/>
        </w:rPr>
      </w:pPr>
      <w:r w:rsidRPr="006D25C1">
        <w:rPr>
          <w:rFonts w:eastAsia="Arial"/>
          <w:b/>
          <w:bCs/>
          <w:sz w:val="24"/>
          <w:szCs w:val="24"/>
        </w:rPr>
        <w:t>IV. NAČIN I ROKOVI PLAĆANJA KOMUNALNOG DOPRINOSA</w:t>
      </w:r>
    </w:p>
    <w:p w:rsidR="00382460" w:rsidRPr="006D25C1" w:rsidRDefault="00382460" w:rsidP="00382460">
      <w:pPr>
        <w:spacing w:line="253" w:lineRule="exact"/>
        <w:rPr>
          <w:sz w:val="24"/>
          <w:szCs w:val="24"/>
        </w:rPr>
      </w:pPr>
    </w:p>
    <w:p w:rsidR="00382460" w:rsidRPr="006D25C1" w:rsidRDefault="00382460" w:rsidP="00382460">
      <w:pPr>
        <w:ind w:left="4040"/>
        <w:rPr>
          <w:sz w:val="24"/>
          <w:szCs w:val="24"/>
        </w:rPr>
      </w:pPr>
      <w:r w:rsidRPr="006D25C1">
        <w:rPr>
          <w:rFonts w:eastAsia="Arial"/>
          <w:b/>
          <w:bCs/>
          <w:sz w:val="24"/>
          <w:szCs w:val="24"/>
        </w:rPr>
        <w:t>Članak 8.</w:t>
      </w:r>
    </w:p>
    <w:p w:rsidR="00382460" w:rsidRPr="006D25C1" w:rsidRDefault="00382460" w:rsidP="00382460">
      <w:pPr>
        <w:spacing w:line="257" w:lineRule="exact"/>
        <w:rPr>
          <w:sz w:val="24"/>
          <w:szCs w:val="24"/>
        </w:rPr>
      </w:pPr>
    </w:p>
    <w:p w:rsidR="00382460" w:rsidRPr="006D25C1" w:rsidRDefault="00382460" w:rsidP="00382460">
      <w:pPr>
        <w:spacing w:line="239" w:lineRule="auto"/>
        <w:ind w:right="20" w:firstLine="708"/>
        <w:jc w:val="both"/>
        <w:rPr>
          <w:sz w:val="24"/>
          <w:szCs w:val="24"/>
        </w:rPr>
      </w:pPr>
      <w:r w:rsidRPr="006D25C1">
        <w:rPr>
          <w:rFonts w:eastAsia="Arial"/>
          <w:sz w:val="24"/>
          <w:szCs w:val="24"/>
        </w:rPr>
        <w:t>Komunalni doprinos obveznik plaća jednokratno</w:t>
      </w:r>
      <w:r>
        <w:rPr>
          <w:rFonts w:eastAsia="Arial"/>
          <w:sz w:val="24"/>
          <w:szCs w:val="24"/>
        </w:rPr>
        <w:t xml:space="preserve"> na poslovni račun Općine </w:t>
      </w:r>
      <w:r w:rsidR="0091591D">
        <w:rPr>
          <w:rFonts w:eastAsia="Arial"/>
          <w:sz w:val="24"/>
          <w:szCs w:val="24"/>
        </w:rPr>
        <w:t>Sveti Martin na Muri</w:t>
      </w:r>
      <w:r w:rsidRPr="006D25C1">
        <w:rPr>
          <w:rFonts w:eastAsia="Arial"/>
          <w:sz w:val="24"/>
          <w:szCs w:val="24"/>
        </w:rPr>
        <w:t xml:space="preserve"> na teme</w:t>
      </w:r>
      <w:r>
        <w:rPr>
          <w:rFonts w:eastAsia="Arial"/>
          <w:sz w:val="24"/>
          <w:szCs w:val="24"/>
        </w:rPr>
        <w:t xml:space="preserve">lju rješenja koje donosi Jedinstveni upravni odjel </w:t>
      </w:r>
      <w:r w:rsidRPr="006D25C1">
        <w:rPr>
          <w:rFonts w:eastAsia="Arial"/>
          <w:sz w:val="24"/>
          <w:szCs w:val="24"/>
        </w:rPr>
        <w:t xml:space="preserve"> u roku od 15 dana od dana izvršnosti rješenja o komunalnom doprinosu.</w:t>
      </w:r>
    </w:p>
    <w:p w:rsidR="00382460" w:rsidRPr="006D25C1" w:rsidRDefault="00382460" w:rsidP="00382460">
      <w:pPr>
        <w:spacing w:line="2" w:lineRule="exact"/>
        <w:rPr>
          <w:sz w:val="24"/>
          <w:szCs w:val="24"/>
        </w:rPr>
      </w:pPr>
    </w:p>
    <w:p w:rsidR="00382460" w:rsidRPr="006D25C1" w:rsidRDefault="00382460" w:rsidP="00382460">
      <w:pPr>
        <w:spacing w:line="239" w:lineRule="auto"/>
        <w:ind w:right="20" w:firstLine="708"/>
        <w:jc w:val="both"/>
        <w:rPr>
          <w:sz w:val="24"/>
          <w:szCs w:val="24"/>
        </w:rPr>
      </w:pPr>
      <w:r w:rsidRPr="006D25C1">
        <w:rPr>
          <w:rFonts w:eastAsia="Arial"/>
          <w:sz w:val="24"/>
          <w:szCs w:val="24"/>
        </w:rPr>
        <w:t>Komunalni doprinos, obve</w:t>
      </w:r>
      <w:r>
        <w:rPr>
          <w:rFonts w:eastAsia="Arial"/>
          <w:sz w:val="24"/>
          <w:szCs w:val="24"/>
        </w:rPr>
        <w:t xml:space="preserve">znik može platiti obročno, </w:t>
      </w:r>
      <w:r w:rsidRPr="00AB47D4">
        <w:rPr>
          <w:rFonts w:eastAsia="Arial"/>
          <w:sz w:val="24"/>
          <w:szCs w:val="24"/>
        </w:rPr>
        <w:t xml:space="preserve">do 12 mjesečna obroka u roku od  godine od dana izvršnosti rješenja o komunalnom doprinosu, uz uvjet da prvi obrok ne može </w:t>
      </w:r>
      <w:r w:rsidRPr="006D25C1">
        <w:rPr>
          <w:rFonts w:eastAsia="Arial"/>
          <w:sz w:val="24"/>
          <w:szCs w:val="24"/>
        </w:rPr>
        <w:t>biti manji od 30% ukupne obveze plaćanja komunalnog doprinosa, a na preostale obroke obračunava se kamata u visini eskontne stope Hrvatske narodne banke.</w:t>
      </w:r>
    </w:p>
    <w:p w:rsidR="00382460" w:rsidRPr="006D25C1" w:rsidRDefault="00382460" w:rsidP="00382460">
      <w:pPr>
        <w:spacing w:line="3" w:lineRule="exact"/>
        <w:rPr>
          <w:sz w:val="24"/>
          <w:szCs w:val="24"/>
        </w:rPr>
      </w:pPr>
    </w:p>
    <w:p w:rsidR="00382460" w:rsidRPr="00181927" w:rsidRDefault="00382460" w:rsidP="00382460">
      <w:pPr>
        <w:ind w:firstLine="708"/>
        <w:jc w:val="both"/>
        <w:rPr>
          <w:sz w:val="24"/>
          <w:szCs w:val="24"/>
        </w:rPr>
      </w:pPr>
      <w:r w:rsidRPr="00181927">
        <w:rPr>
          <w:rFonts w:eastAsia="Arial"/>
          <w:sz w:val="24"/>
          <w:szCs w:val="24"/>
        </w:rPr>
        <w:t>U slučaju obročne otplate komunalnog doprinosa većeg od 100.000,00 kn obveznici su dužni osigurati ovjerenu zadužnicu u visini preostalog duga sa obračunatom kamatom u visini eskontne stope Hrvatske narodne banke. U slučaju da obveznik ne plati uzastopno dvije rate naplata zadužnice se realizira u punom iznosu komunalnog doprinosa. Ukoliko obveznik plaćanja u roku od 3 dana po primitku rješenja o obročnoj otplati komunalnog doprinosa ne dostavi zadužnicu, navedeno rješenje se ukida, te je obveznik dužan platiti puni iznos komunalnog doprinosa.</w:t>
      </w:r>
    </w:p>
    <w:p w:rsidR="00382460" w:rsidRPr="00181927" w:rsidRDefault="00382460" w:rsidP="00382460">
      <w:pPr>
        <w:spacing w:line="239" w:lineRule="auto"/>
        <w:ind w:firstLine="708"/>
        <w:jc w:val="both"/>
        <w:rPr>
          <w:sz w:val="24"/>
          <w:szCs w:val="24"/>
        </w:rPr>
      </w:pPr>
      <w:r w:rsidRPr="00181927">
        <w:rPr>
          <w:rFonts w:eastAsia="Arial"/>
          <w:sz w:val="24"/>
          <w:szCs w:val="24"/>
        </w:rPr>
        <w:t>U slučaju obročne otplate komunalnog doprinosa manjeg od 100.000,00 kn, ukoliko obveznik ne plati uzastopno dvije rate, provest će se postupak ovrhe sukladno pravomoćnom rješenju o komunalnom doprinosu i na temelju njega, izdanog rješenja o ovrsi.</w:t>
      </w:r>
    </w:p>
    <w:p w:rsidR="00382460" w:rsidRPr="006D25C1" w:rsidRDefault="00382460" w:rsidP="00382460">
      <w:pPr>
        <w:spacing w:line="2" w:lineRule="exact"/>
        <w:rPr>
          <w:sz w:val="24"/>
          <w:szCs w:val="24"/>
        </w:rPr>
      </w:pPr>
    </w:p>
    <w:p w:rsidR="00382460" w:rsidRPr="006D25C1" w:rsidRDefault="00382460" w:rsidP="00382460">
      <w:pPr>
        <w:ind w:left="700"/>
        <w:rPr>
          <w:sz w:val="24"/>
          <w:szCs w:val="24"/>
        </w:rPr>
      </w:pPr>
      <w:r w:rsidRPr="006D25C1">
        <w:rPr>
          <w:rFonts w:eastAsia="Arial"/>
          <w:sz w:val="24"/>
          <w:szCs w:val="24"/>
        </w:rPr>
        <w:t>Obveznik može u svako doba preostali dug platiti odjednom.</w:t>
      </w:r>
    </w:p>
    <w:p w:rsidR="00382460" w:rsidRPr="006D25C1" w:rsidRDefault="00382460" w:rsidP="00382460">
      <w:pPr>
        <w:spacing w:line="250" w:lineRule="exact"/>
        <w:rPr>
          <w:sz w:val="24"/>
          <w:szCs w:val="24"/>
        </w:rPr>
      </w:pPr>
    </w:p>
    <w:p w:rsidR="00382460" w:rsidRDefault="00382460" w:rsidP="00382460">
      <w:pPr>
        <w:numPr>
          <w:ilvl w:val="0"/>
          <w:numId w:val="23"/>
        </w:numPr>
        <w:tabs>
          <w:tab w:val="left" w:pos="380"/>
          <w:tab w:val="left" w:pos="7797"/>
          <w:tab w:val="left" w:pos="7938"/>
        </w:tabs>
        <w:spacing w:line="480" w:lineRule="auto"/>
        <w:ind w:left="3980" w:right="1419" w:hanging="3922"/>
        <w:rPr>
          <w:rFonts w:eastAsia="Arial"/>
          <w:b/>
          <w:bCs/>
          <w:sz w:val="24"/>
          <w:szCs w:val="24"/>
        </w:rPr>
      </w:pPr>
      <w:r w:rsidRPr="006D25C1">
        <w:rPr>
          <w:rFonts w:eastAsia="Arial"/>
          <w:b/>
          <w:bCs/>
          <w:sz w:val="24"/>
          <w:szCs w:val="24"/>
        </w:rPr>
        <w:t xml:space="preserve">OSLOBAĐANJE OD PLAĆANJA </w:t>
      </w:r>
      <w:r>
        <w:rPr>
          <w:rFonts w:eastAsia="Arial"/>
          <w:b/>
          <w:bCs/>
          <w:sz w:val="24"/>
          <w:szCs w:val="24"/>
        </w:rPr>
        <w:t>KOMUNALNOG DOPRINOSA</w:t>
      </w:r>
    </w:p>
    <w:p w:rsidR="00382460" w:rsidRDefault="00382460" w:rsidP="00382460">
      <w:pPr>
        <w:tabs>
          <w:tab w:val="left" w:pos="380"/>
          <w:tab w:val="left" w:pos="7655"/>
          <w:tab w:val="left" w:pos="7938"/>
        </w:tabs>
        <w:spacing w:line="480" w:lineRule="auto"/>
        <w:ind w:left="3980" w:right="1844"/>
        <w:rPr>
          <w:rFonts w:eastAsia="Arial"/>
          <w:b/>
          <w:bCs/>
          <w:sz w:val="24"/>
          <w:szCs w:val="24"/>
        </w:rPr>
      </w:pPr>
      <w:r w:rsidRPr="006D25C1">
        <w:rPr>
          <w:rFonts w:eastAsia="Arial"/>
          <w:b/>
          <w:bCs/>
          <w:sz w:val="24"/>
          <w:szCs w:val="24"/>
        </w:rPr>
        <w:t xml:space="preserve"> Članak </w:t>
      </w:r>
      <w:r w:rsidR="00FF5E1D">
        <w:rPr>
          <w:rFonts w:eastAsia="Arial"/>
          <w:b/>
          <w:bCs/>
          <w:sz w:val="24"/>
          <w:szCs w:val="24"/>
        </w:rPr>
        <w:t>9</w:t>
      </w:r>
      <w:r w:rsidRPr="006D25C1">
        <w:rPr>
          <w:rFonts w:eastAsia="Arial"/>
          <w:b/>
          <w:bCs/>
          <w:sz w:val="24"/>
          <w:szCs w:val="24"/>
        </w:rPr>
        <w:t>.</w:t>
      </w:r>
    </w:p>
    <w:p w:rsidR="00014127" w:rsidRPr="00014127" w:rsidRDefault="00014127" w:rsidP="00014127">
      <w:pPr>
        <w:pStyle w:val="Tijeloteksta"/>
        <w:rPr>
          <w:b w:val="0"/>
        </w:rPr>
      </w:pPr>
      <w:r w:rsidRPr="00014127">
        <w:rPr>
          <w:b w:val="0"/>
        </w:rPr>
        <w:t xml:space="preserve">     Općinsko vijeće Općine Sveti Martin na Muri može osloboditi u potpunosti obveze plaćanja komunalnog doprinosa investitore koji grade ili ozakonjuju:</w:t>
      </w:r>
    </w:p>
    <w:p w:rsidR="00014127" w:rsidRPr="00014127" w:rsidRDefault="00014127" w:rsidP="00014127">
      <w:pPr>
        <w:numPr>
          <w:ilvl w:val="0"/>
          <w:numId w:val="30"/>
        </w:numPr>
        <w:jc w:val="both"/>
        <w:rPr>
          <w:bCs/>
        </w:rPr>
      </w:pPr>
      <w:r w:rsidRPr="00014127">
        <w:rPr>
          <w:bCs/>
        </w:rPr>
        <w:t>građevine namijenjene zdravstvenoj djelatnosti, socijalnoj skrbi, kulturi, tehničkoj kulturi, sportu, predškolskom, osnovnom i srednjem obrazovanju,</w:t>
      </w:r>
    </w:p>
    <w:p w:rsidR="00014127" w:rsidRPr="00014127" w:rsidRDefault="00014127" w:rsidP="00014127">
      <w:pPr>
        <w:numPr>
          <w:ilvl w:val="0"/>
          <w:numId w:val="30"/>
        </w:numPr>
        <w:jc w:val="both"/>
        <w:rPr>
          <w:bCs/>
        </w:rPr>
      </w:pPr>
      <w:r w:rsidRPr="00014127">
        <w:rPr>
          <w:bCs/>
        </w:rPr>
        <w:t>građevine za potrebe javnih ustanova i trgovačkih društava koja su u vlasništvu Općine Sveti Martin na Muri ili Međimurske županije,</w:t>
      </w:r>
    </w:p>
    <w:p w:rsidR="00014127" w:rsidRPr="00014127" w:rsidRDefault="00014127" w:rsidP="00014127">
      <w:pPr>
        <w:numPr>
          <w:ilvl w:val="0"/>
          <w:numId w:val="30"/>
        </w:numPr>
        <w:jc w:val="both"/>
        <w:rPr>
          <w:bCs/>
        </w:rPr>
      </w:pPr>
      <w:r w:rsidRPr="00014127">
        <w:rPr>
          <w:bCs/>
        </w:rPr>
        <w:t>gospodarske građevine izvan građevinskog područja na parcelama koje imaju neposredni pristup na poljski put i uz koje se ne planira izvedba javne rasvjete,</w:t>
      </w:r>
    </w:p>
    <w:p w:rsidR="00014127" w:rsidRPr="00014127" w:rsidRDefault="00014127" w:rsidP="00014127">
      <w:pPr>
        <w:numPr>
          <w:ilvl w:val="0"/>
          <w:numId w:val="30"/>
        </w:numPr>
        <w:jc w:val="both"/>
        <w:rPr>
          <w:bCs/>
        </w:rPr>
      </w:pPr>
      <w:r w:rsidRPr="00014127">
        <w:rPr>
          <w:bCs/>
        </w:rPr>
        <w:t>objekte i uređaje komunalne infrastrukture.</w:t>
      </w:r>
    </w:p>
    <w:p w:rsidR="00014127" w:rsidRPr="00014127" w:rsidRDefault="00014127" w:rsidP="00014127">
      <w:pPr>
        <w:jc w:val="both"/>
        <w:rPr>
          <w:bCs/>
        </w:rPr>
      </w:pPr>
      <w:r w:rsidRPr="00014127">
        <w:rPr>
          <w:bCs/>
        </w:rPr>
        <w:t xml:space="preserve">      Općinsko vijeće Općine Sveti Martin na Muri može djelomično osloboditi, u iznosu razmjernom svojem vlasničkom udjelu, investitore koji grade građevine za potrebe javnih ustanova i trgovačkih društava koja su u suvlasništvu Općine Sveti Martin na Muri i drugih općina ili u suvlasništvu Općine Sveti Martin na Muri i Međimurske županije.</w:t>
      </w:r>
    </w:p>
    <w:p w:rsidR="00B30691" w:rsidRDefault="00014127" w:rsidP="00B30691">
      <w:pPr>
        <w:jc w:val="both"/>
      </w:pPr>
      <w:r w:rsidRPr="00014127">
        <w:rPr>
          <w:bCs/>
        </w:rPr>
        <w:t xml:space="preserve">      </w:t>
      </w:r>
      <w:r w:rsidR="00B30691">
        <w:t>Općinsko vijeće može investitore, po posebnom zahtjevu, koji grade poslovne građevine djelomično osloboditi plaćanje obveze komunalnog doprinosa kao mjera poticaja poduzetničke aktivnosti ukoliko se ispune uvjeti, a temeljem slijedećih kriterija:</w:t>
      </w:r>
    </w:p>
    <w:p w:rsidR="00B30691" w:rsidRDefault="00B30691" w:rsidP="00B30691">
      <w:pPr>
        <w:jc w:val="both"/>
      </w:pPr>
    </w:p>
    <w:p w:rsidR="00B30691" w:rsidRDefault="00B30691" w:rsidP="00B30691">
      <w:pPr>
        <w:jc w:val="both"/>
      </w:pPr>
    </w:p>
    <w:p w:rsidR="00B30691" w:rsidRDefault="00B30691" w:rsidP="00B30691">
      <w:pPr>
        <w:jc w:val="both"/>
      </w:pPr>
    </w:p>
    <w:p w:rsidR="00B30691" w:rsidRDefault="00B30691" w:rsidP="00B30691">
      <w:pPr>
        <w:jc w:val="both"/>
      </w:pPr>
    </w:p>
    <w:p w:rsidR="00B30691" w:rsidRDefault="00B30691" w:rsidP="00B30691">
      <w:pPr>
        <w:jc w:val="both"/>
      </w:pPr>
    </w:p>
    <w:p w:rsidR="00B30691" w:rsidRDefault="00B30691" w:rsidP="00B30691">
      <w:pPr>
        <w:jc w:val="both"/>
      </w:pPr>
    </w:p>
    <w:p w:rsidR="00B30691" w:rsidRDefault="00B30691" w:rsidP="00B30691">
      <w:pPr>
        <w:jc w:val="both"/>
      </w:pPr>
    </w:p>
    <w:tbl>
      <w:tblPr>
        <w:tblStyle w:val="Reetkatablice"/>
        <w:tblW w:w="0" w:type="auto"/>
        <w:tblInd w:w="392" w:type="dxa"/>
        <w:tblLook w:val="04A0" w:firstRow="1" w:lastRow="0" w:firstColumn="1" w:lastColumn="0" w:noHBand="0" w:noVBand="1"/>
      </w:tblPr>
      <w:tblGrid>
        <w:gridCol w:w="2895"/>
        <w:gridCol w:w="3445"/>
        <w:gridCol w:w="2332"/>
      </w:tblGrid>
      <w:tr w:rsidR="00B30691" w:rsidTr="00FB1878">
        <w:tc>
          <w:tcPr>
            <w:tcW w:w="2977" w:type="dxa"/>
          </w:tcPr>
          <w:p w:rsidR="00B30691" w:rsidRPr="00DD0209" w:rsidRDefault="00B30691" w:rsidP="00FB1878">
            <w:pPr>
              <w:jc w:val="center"/>
              <w:rPr>
                <w:b/>
              </w:rPr>
            </w:pPr>
            <w:r>
              <w:rPr>
                <w:b/>
              </w:rPr>
              <w:lastRenderedPageBreak/>
              <w:t>Redni broj investicije</w:t>
            </w:r>
          </w:p>
        </w:tc>
        <w:tc>
          <w:tcPr>
            <w:tcW w:w="3543" w:type="dxa"/>
          </w:tcPr>
          <w:p w:rsidR="00B30691" w:rsidRPr="00DD0209" w:rsidRDefault="00B30691" w:rsidP="00FB1878">
            <w:pPr>
              <w:jc w:val="center"/>
              <w:rPr>
                <w:b/>
              </w:rPr>
            </w:pPr>
            <w:r w:rsidRPr="00DD0209">
              <w:rPr>
                <w:b/>
              </w:rPr>
              <w:t xml:space="preserve">Visina ulaganja </w:t>
            </w:r>
          </w:p>
        </w:tc>
        <w:tc>
          <w:tcPr>
            <w:tcW w:w="2376" w:type="dxa"/>
          </w:tcPr>
          <w:p w:rsidR="00B30691" w:rsidRPr="00DD0209" w:rsidRDefault="00B30691" w:rsidP="00FB1878">
            <w:pPr>
              <w:jc w:val="center"/>
              <w:rPr>
                <w:b/>
              </w:rPr>
            </w:pPr>
            <w:r w:rsidRPr="00DD0209">
              <w:rPr>
                <w:b/>
              </w:rPr>
              <w:t>Oslobođenje</w:t>
            </w:r>
          </w:p>
        </w:tc>
      </w:tr>
      <w:tr w:rsidR="00B30691" w:rsidTr="00FB1878">
        <w:tc>
          <w:tcPr>
            <w:tcW w:w="2977" w:type="dxa"/>
          </w:tcPr>
          <w:p w:rsidR="00B30691" w:rsidRDefault="00B30691" w:rsidP="00FB1878">
            <w:pPr>
              <w:jc w:val="both"/>
            </w:pPr>
            <w:r>
              <w:t xml:space="preserve">Prva investicija </w:t>
            </w:r>
          </w:p>
        </w:tc>
        <w:tc>
          <w:tcPr>
            <w:tcW w:w="3543" w:type="dxa"/>
          </w:tcPr>
          <w:p w:rsidR="00B30691" w:rsidRDefault="00B30691" w:rsidP="00FB1878">
            <w:pPr>
              <w:jc w:val="both"/>
            </w:pPr>
            <w:r>
              <w:t>do 1.000.000,00 kn</w:t>
            </w:r>
          </w:p>
        </w:tc>
        <w:tc>
          <w:tcPr>
            <w:tcW w:w="2376" w:type="dxa"/>
          </w:tcPr>
          <w:p w:rsidR="00B30691" w:rsidRDefault="00B30691" w:rsidP="00FB1878">
            <w:pPr>
              <w:jc w:val="center"/>
            </w:pPr>
            <w:r>
              <w:t>20%</w:t>
            </w:r>
          </w:p>
        </w:tc>
      </w:tr>
      <w:tr w:rsidR="00B30691" w:rsidTr="00FB1878">
        <w:tc>
          <w:tcPr>
            <w:tcW w:w="2977" w:type="dxa"/>
          </w:tcPr>
          <w:p w:rsidR="00B30691" w:rsidRDefault="00B30691" w:rsidP="00FB1878">
            <w:pPr>
              <w:jc w:val="both"/>
            </w:pPr>
            <w:r>
              <w:t xml:space="preserve">Prva investicija </w:t>
            </w:r>
          </w:p>
        </w:tc>
        <w:tc>
          <w:tcPr>
            <w:tcW w:w="3543" w:type="dxa"/>
          </w:tcPr>
          <w:p w:rsidR="00B30691" w:rsidRDefault="00B30691" w:rsidP="00FB1878">
            <w:pPr>
              <w:jc w:val="both"/>
            </w:pPr>
            <w:r>
              <w:t>do 3.000.000,00 kn</w:t>
            </w:r>
          </w:p>
        </w:tc>
        <w:tc>
          <w:tcPr>
            <w:tcW w:w="2376" w:type="dxa"/>
          </w:tcPr>
          <w:p w:rsidR="00B30691" w:rsidRDefault="00B30691" w:rsidP="00FB1878">
            <w:pPr>
              <w:jc w:val="center"/>
            </w:pPr>
            <w:r>
              <w:t>35%</w:t>
            </w:r>
          </w:p>
        </w:tc>
      </w:tr>
      <w:tr w:rsidR="00B30691" w:rsidTr="00FB1878">
        <w:tc>
          <w:tcPr>
            <w:tcW w:w="2977" w:type="dxa"/>
          </w:tcPr>
          <w:p w:rsidR="00B30691" w:rsidRDefault="00B30691" w:rsidP="00FB1878">
            <w:pPr>
              <w:jc w:val="both"/>
            </w:pPr>
            <w:r>
              <w:t xml:space="preserve">Prva investicija </w:t>
            </w:r>
          </w:p>
        </w:tc>
        <w:tc>
          <w:tcPr>
            <w:tcW w:w="3543" w:type="dxa"/>
          </w:tcPr>
          <w:p w:rsidR="00B30691" w:rsidRDefault="00B30691" w:rsidP="00FB1878">
            <w:pPr>
              <w:jc w:val="both"/>
            </w:pPr>
            <w:r>
              <w:t>iznad 3.000.000,00 kn</w:t>
            </w:r>
          </w:p>
        </w:tc>
        <w:tc>
          <w:tcPr>
            <w:tcW w:w="2376" w:type="dxa"/>
          </w:tcPr>
          <w:p w:rsidR="00B30691" w:rsidRDefault="00B30691" w:rsidP="00FB1878">
            <w:pPr>
              <w:jc w:val="center"/>
            </w:pPr>
            <w:r>
              <w:t>50%</w:t>
            </w:r>
          </w:p>
        </w:tc>
      </w:tr>
      <w:tr w:rsidR="00B30691" w:rsidTr="00FB1878">
        <w:tc>
          <w:tcPr>
            <w:tcW w:w="8896" w:type="dxa"/>
            <w:gridSpan w:val="3"/>
          </w:tcPr>
          <w:p w:rsidR="00B30691" w:rsidRDefault="00B30691" w:rsidP="00FB1878">
            <w:pPr>
              <w:jc w:val="center"/>
            </w:pPr>
          </w:p>
        </w:tc>
      </w:tr>
      <w:tr w:rsidR="00B30691" w:rsidTr="00FB1878">
        <w:tc>
          <w:tcPr>
            <w:tcW w:w="2977" w:type="dxa"/>
          </w:tcPr>
          <w:p w:rsidR="00B30691" w:rsidRDefault="00B30691" w:rsidP="00FB1878">
            <w:pPr>
              <w:jc w:val="both"/>
            </w:pPr>
            <w:r>
              <w:t>Druga investicija</w:t>
            </w:r>
          </w:p>
        </w:tc>
        <w:tc>
          <w:tcPr>
            <w:tcW w:w="3543" w:type="dxa"/>
          </w:tcPr>
          <w:p w:rsidR="00B30691" w:rsidRDefault="00B30691" w:rsidP="00FB1878">
            <w:pPr>
              <w:jc w:val="both"/>
            </w:pPr>
            <w:r>
              <w:t>do 1.000.000,00 kn</w:t>
            </w:r>
          </w:p>
        </w:tc>
        <w:tc>
          <w:tcPr>
            <w:tcW w:w="2376" w:type="dxa"/>
          </w:tcPr>
          <w:p w:rsidR="00B30691" w:rsidRDefault="00B30691" w:rsidP="00FB1878">
            <w:pPr>
              <w:jc w:val="center"/>
            </w:pPr>
            <w:r>
              <w:t>10%</w:t>
            </w:r>
          </w:p>
        </w:tc>
      </w:tr>
      <w:tr w:rsidR="00B30691" w:rsidTr="00FB1878">
        <w:tc>
          <w:tcPr>
            <w:tcW w:w="2977" w:type="dxa"/>
          </w:tcPr>
          <w:p w:rsidR="00B30691" w:rsidRDefault="00B30691" w:rsidP="00FB1878">
            <w:pPr>
              <w:jc w:val="both"/>
            </w:pPr>
            <w:r>
              <w:t>Druga investicija</w:t>
            </w:r>
          </w:p>
        </w:tc>
        <w:tc>
          <w:tcPr>
            <w:tcW w:w="3543" w:type="dxa"/>
          </w:tcPr>
          <w:p w:rsidR="00B30691" w:rsidRDefault="00B30691" w:rsidP="00FB1878">
            <w:pPr>
              <w:jc w:val="both"/>
            </w:pPr>
            <w:r>
              <w:t>do 3.000.000,00 kn</w:t>
            </w:r>
          </w:p>
        </w:tc>
        <w:tc>
          <w:tcPr>
            <w:tcW w:w="2376" w:type="dxa"/>
          </w:tcPr>
          <w:p w:rsidR="00B30691" w:rsidRDefault="00B30691" w:rsidP="00FB1878">
            <w:pPr>
              <w:jc w:val="center"/>
            </w:pPr>
            <w:r>
              <w:t>17,5 %</w:t>
            </w:r>
          </w:p>
        </w:tc>
      </w:tr>
      <w:tr w:rsidR="00B30691" w:rsidTr="00FB1878">
        <w:tc>
          <w:tcPr>
            <w:tcW w:w="2977" w:type="dxa"/>
          </w:tcPr>
          <w:p w:rsidR="00B30691" w:rsidRDefault="00B30691" w:rsidP="00FB1878">
            <w:pPr>
              <w:jc w:val="both"/>
            </w:pPr>
            <w:r>
              <w:t>Druga investicija</w:t>
            </w:r>
          </w:p>
        </w:tc>
        <w:tc>
          <w:tcPr>
            <w:tcW w:w="3543" w:type="dxa"/>
          </w:tcPr>
          <w:p w:rsidR="00B30691" w:rsidRDefault="00B30691" w:rsidP="00FB1878">
            <w:pPr>
              <w:jc w:val="both"/>
            </w:pPr>
            <w:r>
              <w:t>iznad 3.000.000,00 kn</w:t>
            </w:r>
          </w:p>
        </w:tc>
        <w:tc>
          <w:tcPr>
            <w:tcW w:w="2376" w:type="dxa"/>
          </w:tcPr>
          <w:p w:rsidR="00B30691" w:rsidRDefault="00B30691" w:rsidP="00FB1878">
            <w:pPr>
              <w:jc w:val="center"/>
            </w:pPr>
            <w:r>
              <w:t>25 %</w:t>
            </w:r>
          </w:p>
        </w:tc>
      </w:tr>
    </w:tbl>
    <w:p w:rsidR="00B30691" w:rsidRDefault="00B30691" w:rsidP="00B30691"/>
    <w:p w:rsidR="00B30691" w:rsidRDefault="00B30691" w:rsidP="00B30691">
      <w:pPr>
        <w:jc w:val="both"/>
      </w:pPr>
      <w:r>
        <w:t>Svaka slijedeća investicija, a prema gore utvrđenim visinama ulaganja investitora oslobađa se 50% utvrđenog oslobođenja komunalnog doprinosa prethodne investicije, ukoliko je investitor iskoristio prethodna oslobođenja.</w:t>
      </w:r>
    </w:p>
    <w:p w:rsidR="00014127" w:rsidRDefault="00014127" w:rsidP="00014127">
      <w:pPr>
        <w:jc w:val="center"/>
        <w:rPr>
          <w:b/>
          <w:bCs/>
        </w:rPr>
      </w:pPr>
      <w:r>
        <w:rPr>
          <w:b/>
          <w:bCs/>
        </w:rPr>
        <w:t>Članak 10.</w:t>
      </w:r>
    </w:p>
    <w:p w:rsidR="00014127" w:rsidRDefault="00014127" w:rsidP="00014127">
      <w:pPr>
        <w:jc w:val="center"/>
        <w:rPr>
          <w:b/>
          <w:bCs/>
        </w:rPr>
      </w:pPr>
    </w:p>
    <w:p w:rsidR="00014127" w:rsidRPr="00014127" w:rsidRDefault="00014127" w:rsidP="00014127">
      <w:pPr>
        <w:jc w:val="both"/>
        <w:rPr>
          <w:bCs/>
        </w:rPr>
      </w:pPr>
      <w:r w:rsidRPr="00014127">
        <w:rPr>
          <w:bCs/>
        </w:rPr>
        <w:t xml:space="preserve">      Komunalni doprinos se ne plaća za:</w:t>
      </w:r>
    </w:p>
    <w:p w:rsidR="00014127" w:rsidRPr="00014127" w:rsidRDefault="00014127" w:rsidP="00014127">
      <w:pPr>
        <w:numPr>
          <w:ilvl w:val="0"/>
          <w:numId w:val="30"/>
        </w:numPr>
        <w:jc w:val="both"/>
        <w:rPr>
          <w:bCs/>
        </w:rPr>
      </w:pPr>
      <w:r w:rsidRPr="00014127">
        <w:rPr>
          <w:bCs/>
        </w:rPr>
        <w:t>postavljanje kioska ili druge građevine gotove konstrukcije površine do 12m2,</w:t>
      </w:r>
    </w:p>
    <w:p w:rsidR="00014127" w:rsidRPr="00014127" w:rsidRDefault="00014127" w:rsidP="00014127">
      <w:pPr>
        <w:numPr>
          <w:ilvl w:val="0"/>
          <w:numId w:val="30"/>
        </w:numPr>
        <w:jc w:val="both"/>
        <w:rPr>
          <w:bCs/>
        </w:rPr>
      </w:pPr>
      <w:r w:rsidRPr="00014127">
        <w:rPr>
          <w:bCs/>
        </w:rPr>
        <w:t>gospodarsku građevinu razvijene bruto površine do 100m2 namijenjene isključivo za poljoprivrednu djelatnost koja se gradi na građevnoj čestici obiteljske kuće za koju je plaćen komunalni doprinos,</w:t>
      </w:r>
    </w:p>
    <w:p w:rsidR="00014127" w:rsidRPr="00014127" w:rsidRDefault="00014127" w:rsidP="00014127">
      <w:pPr>
        <w:numPr>
          <w:ilvl w:val="0"/>
          <w:numId w:val="30"/>
        </w:numPr>
        <w:jc w:val="both"/>
        <w:rPr>
          <w:bCs/>
        </w:rPr>
      </w:pPr>
      <w:r w:rsidRPr="00014127">
        <w:rPr>
          <w:bCs/>
        </w:rPr>
        <w:t>pomoćnu građevinu (garaža, spremište, drvarnica i sl.) razvijene bruto površine do 50 m2 koja se gradi na građevnoj čestici na kojoj je izgrađena stambena ili poslovna građevina za koju je plaćen komunalni doprinos.</w:t>
      </w:r>
    </w:p>
    <w:p w:rsidR="00014127" w:rsidRDefault="00014127" w:rsidP="00014127">
      <w:pPr>
        <w:jc w:val="both"/>
        <w:rPr>
          <w:b/>
          <w:bCs/>
        </w:rPr>
      </w:pPr>
    </w:p>
    <w:p w:rsidR="00014127" w:rsidRDefault="00014127" w:rsidP="00014127">
      <w:pPr>
        <w:jc w:val="center"/>
        <w:rPr>
          <w:b/>
          <w:bCs/>
        </w:rPr>
      </w:pPr>
      <w:r>
        <w:rPr>
          <w:b/>
          <w:bCs/>
        </w:rPr>
        <w:t>Članak 11.</w:t>
      </w:r>
    </w:p>
    <w:p w:rsidR="00014127" w:rsidRDefault="00014127" w:rsidP="00014127">
      <w:pPr>
        <w:jc w:val="center"/>
        <w:rPr>
          <w:b/>
          <w:bCs/>
        </w:rPr>
      </w:pPr>
    </w:p>
    <w:p w:rsidR="00014127" w:rsidRPr="00014127" w:rsidRDefault="00014127" w:rsidP="00014127">
      <w:pPr>
        <w:pStyle w:val="Tijeloteksta"/>
        <w:rPr>
          <w:b w:val="0"/>
        </w:rPr>
      </w:pPr>
      <w:r w:rsidRPr="00014127">
        <w:rPr>
          <w:b w:val="0"/>
        </w:rPr>
        <w:t xml:space="preserve">      Obveznik komunalnog doprinosa može uz suglasnost i uz uvjete Općinskog vijeća i sam, u cijelosti ili djelomično, snositi troškove gradnje javne površine, nerazvrstane ceste ili javne rasvjete. U tom slučaju obveznik komunalnog doprinosa i Općina Sveti Martin na Muri sklapaju pisani ugovor kojim se utvrđuje visina troškova izgradnje te priznanje tih troškova kao plaćeni iznos komunalnog doprinosa.</w:t>
      </w:r>
    </w:p>
    <w:p w:rsidR="00382460" w:rsidRPr="006D25C1" w:rsidRDefault="00382460" w:rsidP="00382460">
      <w:pPr>
        <w:spacing w:line="2" w:lineRule="exact"/>
        <w:rPr>
          <w:sz w:val="24"/>
          <w:szCs w:val="24"/>
        </w:rPr>
      </w:pPr>
    </w:p>
    <w:p w:rsidR="00382460" w:rsidRPr="006D25C1" w:rsidRDefault="00382460" w:rsidP="00382460">
      <w:pPr>
        <w:spacing w:line="1" w:lineRule="exact"/>
        <w:rPr>
          <w:sz w:val="24"/>
          <w:szCs w:val="24"/>
        </w:rPr>
      </w:pPr>
    </w:p>
    <w:p w:rsidR="00382460" w:rsidRPr="006D25C1" w:rsidRDefault="00382460" w:rsidP="00382460">
      <w:pPr>
        <w:spacing w:line="154" w:lineRule="exact"/>
        <w:rPr>
          <w:sz w:val="24"/>
          <w:szCs w:val="24"/>
        </w:rPr>
      </w:pPr>
    </w:p>
    <w:p w:rsidR="00382460" w:rsidRPr="006D25C1" w:rsidRDefault="00382460" w:rsidP="00382460">
      <w:pPr>
        <w:jc w:val="center"/>
        <w:rPr>
          <w:sz w:val="24"/>
          <w:szCs w:val="24"/>
        </w:rPr>
      </w:pPr>
      <w:r w:rsidRPr="006D25C1">
        <w:rPr>
          <w:rFonts w:eastAsia="Arial"/>
          <w:b/>
          <w:bCs/>
          <w:sz w:val="24"/>
          <w:szCs w:val="24"/>
        </w:rPr>
        <w:t>Članak 1</w:t>
      </w:r>
      <w:r w:rsidR="00AB47D4">
        <w:rPr>
          <w:rFonts w:eastAsia="Arial"/>
          <w:b/>
          <w:bCs/>
          <w:sz w:val="24"/>
          <w:szCs w:val="24"/>
        </w:rPr>
        <w:t>2</w:t>
      </w:r>
      <w:r w:rsidRPr="006D25C1">
        <w:rPr>
          <w:rFonts w:eastAsia="Arial"/>
          <w:b/>
          <w:bCs/>
          <w:sz w:val="24"/>
          <w:szCs w:val="24"/>
        </w:rPr>
        <w:t>.</w:t>
      </w:r>
    </w:p>
    <w:p w:rsidR="00382460" w:rsidRPr="006D25C1" w:rsidRDefault="00382460" w:rsidP="00382460">
      <w:pPr>
        <w:spacing w:line="257" w:lineRule="exact"/>
        <w:rPr>
          <w:sz w:val="24"/>
          <w:szCs w:val="24"/>
        </w:rPr>
      </w:pPr>
    </w:p>
    <w:p w:rsidR="00382460" w:rsidRPr="006D25C1" w:rsidRDefault="00382460" w:rsidP="00382460">
      <w:pPr>
        <w:spacing w:line="262" w:lineRule="auto"/>
        <w:ind w:right="20" w:firstLine="708"/>
        <w:jc w:val="both"/>
        <w:rPr>
          <w:sz w:val="24"/>
          <w:szCs w:val="24"/>
        </w:rPr>
      </w:pPr>
      <w:r w:rsidRPr="006D25C1">
        <w:rPr>
          <w:rFonts w:eastAsia="Arial"/>
          <w:sz w:val="24"/>
          <w:szCs w:val="24"/>
        </w:rPr>
        <w:t>U slučajevima oslobođenja od plaćanja komunalnog doprinosa iz članka 1</w:t>
      </w:r>
      <w:r w:rsidR="00B055D5">
        <w:rPr>
          <w:rFonts w:eastAsia="Arial"/>
          <w:sz w:val="24"/>
          <w:szCs w:val="24"/>
        </w:rPr>
        <w:t>0</w:t>
      </w:r>
      <w:r w:rsidRPr="006D25C1">
        <w:rPr>
          <w:rFonts w:eastAsia="Arial"/>
          <w:sz w:val="24"/>
          <w:szCs w:val="24"/>
        </w:rPr>
        <w:t>. ove Odluke, sredstva potrebna za izgradnju objekata i uređaja komunalne infrastrukture namijenjena toj svrsi osigurati</w:t>
      </w:r>
      <w:r>
        <w:rPr>
          <w:rFonts w:eastAsia="Arial"/>
          <w:sz w:val="24"/>
          <w:szCs w:val="24"/>
        </w:rPr>
        <w:t xml:space="preserve"> će se u Proračunu Općine </w:t>
      </w:r>
      <w:r w:rsidR="00B055D5">
        <w:rPr>
          <w:rFonts w:eastAsia="Arial"/>
          <w:sz w:val="24"/>
          <w:szCs w:val="24"/>
        </w:rPr>
        <w:t>Sveti Martin na Muri</w:t>
      </w:r>
      <w:r w:rsidRPr="006D25C1">
        <w:rPr>
          <w:rFonts w:eastAsia="Arial"/>
          <w:sz w:val="24"/>
          <w:szCs w:val="24"/>
        </w:rPr>
        <w:t>.</w:t>
      </w:r>
    </w:p>
    <w:p w:rsidR="00382460" w:rsidRPr="006D25C1" w:rsidRDefault="00382460" w:rsidP="00382460">
      <w:pPr>
        <w:spacing w:line="181" w:lineRule="exact"/>
        <w:rPr>
          <w:sz w:val="24"/>
          <w:szCs w:val="24"/>
        </w:rPr>
      </w:pPr>
    </w:p>
    <w:p w:rsidR="00382460" w:rsidRPr="006D25C1" w:rsidRDefault="00382460" w:rsidP="00382460">
      <w:pPr>
        <w:spacing w:line="190" w:lineRule="exact"/>
        <w:rPr>
          <w:sz w:val="24"/>
          <w:szCs w:val="24"/>
        </w:rPr>
      </w:pPr>
    </w:p>
    <w:p w:rsidR="00382460" w:rsidRPr="006D25C1" w:rsidRDefault="00382460" w:rsidP="00382460">
      <w:pPr>
        <w:spacing w:line="158" w:lineRule="exact"/>
        <w:rPr>
          <w:sz w:val="24"/>
          <w:szCs w:val="24"/>
        </w:rPr>
      </w:pPr>
    </w:p>
    <w:p w:rsidR="00382460" w:rsidRDefault="00382460" w:rsidP="00382460">
      <w:pPr>
        <w:spacing w:line="482" w:lineRule="auto"/>
        <w:ind w:right="2128"/>
        <w:rPr>
          <w:rFonts w:eastAsia="Arial"/>
          <w:b/>
          <w:bCs/>
          <w:sz w:val="24"/>
          <w:szCs w:val="24"/>
        </w:rPr>
      </w:pPr>
      <w:r w:rsidRPr="006D25C1">
        <w:rPr>
          <w:rFonts w:eastAsia="Arial"/>
          <w:b/>
          <w:bCs/>
          <w:sz w:val="24"/>
          <w:szCs w:val="24"/>
        </w:rPr>
        <w:t xml:space="preserve">VI.   RJEŠENJE O KOMUNALNOM DOPRINOSU </w:t>
      </w:r>
    </w:p>
    <w:p w:rsidR="00382460" w:rsidRPr="006D25C1" w:rsidRDefault="00382460" w:rsidP="00382460">
      <w:pPr>
        <w:spacing w:line="482" w:lineRule="auto"/>
        <w:ind w:right="2128"/>
        <w:jc w:val="center"/>
        <w:rPr>
          <w:sz w:val="24"/>
          <w:szCs w:val="24"/>
        </w:rPr>
      </w:pPr>
      <w:r>
        <w:rPr>
          <w:rFonts w:eastAsia="Arial"/>
          <w:b/>
          <w:bCs/>
          <w:sz w:val="24"/>
          <w:szCs w:val="24"/>
        </w:rPr>
        <w:t xml:space="preserve">                                   </w:t>
      </w:r>
      <w:r w:rsidRPr="006D25C1">
        <w:rPr>
          <w:rFonts w:eastAsia="Arial"/>
          <w:b/>
          <w:bCs/>
          <w:sz w:val="24"/>
          <w:szCs w:val="24"/>
        </w:rPr>
        <w:t>Članak 1</w:t>
      </w:r>
      <w:r w:rsidR="00AB47D4">
        <w:rPr>
          <w:rFonts w:eastAsia="Arial"/>
          <w:b/>
          <w:bCs/>
          <w:sz w:val="24"/>
          <w:szCs w:val="24"/>
        </w:rPr>
        <w:t>3</w:t>
      </w:r>
      <w:r w:rsidRPr="006D25C1">
        <w:rPr>
          <w:rFonts w:eastAsia="Arial"/>
          <w:b/>
          <w:bCs/>
          <w:sz w:val="24"/>
          <w:szCs w:val="24"/>
        </w:rPr>
        <w:t>.</w:t>
      </w:r>
    </w:p>
    <w:p w:rsidR="00382460" w:rsidRPr="006D25C1" w:rsidRDefault="00382460" w:rsidP="00382460">
      <w:pPr>
        <w:spacing w:line="239" w:lineRule="auto"/>
        <w:ind w:right="20" w:firstLine="708"/>
        <w:jc w:val="both"/>
        <w:rPr>
          <w:sz w:val="24"/>
          <w:szCs w:val="24"/>
        </w:rPr>
      </w:pPr>
      <w:r w:rsidRPr="006D25C1">
        <w:rPr>
          <w:rFonts w:eastAsia="Arial"/>
          <w:sz w:val="24"/>
          <w:szCs w:val="24"/>
        </w:rPr>
        <w:t>Rješenje o komunalnom doprinosu, te</w:t>
      </w:r>
      <w:r>
        <w:rPr>
          <w:rFonts w:eastAsia="Arial"/>
          <w:sz w:val="24"/>
          <w:szCs w:val="24"/>
        </w:rPr>
        <w:t xml:space="preserve">meljem ove Odluke donosi </w:t>
      </w:r>
      <w:r>
        <w:rPr>
          <w:rFonts w:eastAsia="Arial"/>
          <w:sz w:val="24"/>
          <w:szCs w:val="24"/>
        </w:rPr>
        <w:tab/>
        <w:t xml:space="preserve">Jedinstveni upravni odjel </w:t>
      </w:r>
      <w:r w:rsidRPr="006D25C1">
        <w:rPr>
          <w:rFonts w:eastAsia="Arial"/>
          <w:sz w:val="24"/>
          <w:szCs w:val="24"/>
        </w:rPr>
        <w:t xml:space="preserve"> u postupku pokrenutom po:</w:t>
      </w:r>
    </w:p>
    <w:p w:rsidR="00382460" w:rsidRDefault="00382460" w:rsidP="00382460">
      <w:pPr>
        <w:tabs>
          <w:tab w:val="left" w:pos="720"/>
        </w:tabs>
        <w:spacing w:line="239" w:lineRule="auto"/>
        <w:ind w:right="20"/>
        <w:jc w:val="both"/>
        <w:rPr>
          <w:rFonts w:eastAsia="Arial"/>
          <w:sz w:val="24"/>
          <w:szCs w:val="24"/>
        </w:rPr>
      </w:pPr>
      <w:r>
        <w:rPr>
          <w:rFonts w:eastAsia="Arial"/>
          <w:sz w:val="24"/>
          <w:szCs w:val="24"/>
        </w:rPr>
        <w:t>-</w:t>
      </w:r>
      <w:r w:rsidRPr="006D25C1">
        <w:rPr>
          <w:rFonts w:eastAsia="Arial"/>
          <w:sz w:val="24"/>
          <w:szCs w:val="24"/>
        </w:rPr>
        <w:t>službenoj dužnosti (u skladu s Odlukom o komunalnom doprinosu koja je na snazi na dan pravomoćnosti građevinske dozvole, pravomoćnosti rješenja o izvedenom stanju, odnosno koja je na snazi na dan donošenja rješenja o komunalnom doprinosu ako se radi o građevini koja se prema Zakonu o gradnji može g</w:t>
      </w:r>
      <w:r>
        <w:rPr>
          <w:rFonts w:eastAsia="Arial"/>
          <w:sz w:val="24"/>
          <w:szCs w:val="24"/>
        </w:rPr>
        <w:t>raditi bez građevinske dozvole)</w:t>
      </w:r>
    </w:p>
    <w:p w:rsidR="00382460" w:rsidRPr="006D25C1" w:rsidRDefault="00382460" w:rsidP="00382460">
      <w:pPr>
        <w:spacing w:line="4" w:lineRule="exact"/>
        <w:rPr>
          <w:rFonts w:eastAsia="Arial"/>
          <w:sz w:val="24"/>
          <w:szCs w:val="24"/>
        </w:rPr>
      </w:pPr>
    </w:p>
    <w:p w:rsidR="00382460" w:rsidRPr="006D25C1" w:rsidRDefault="00382460" w:rsidP="00382460">
      <w:pPr>
        <w:tabs>
          <w:tab w:val="left" w:pos="720"/>
        </w:tabs>
        <w:rPr>
          <w:rFonts w:eastAsia="Arial"/>
          <w:sz w:val="24"/>
          <w:szCs w:val="24"/>
        </w:rPr>
      </w:pPr>
      <w:r>
        <w:rPr>
          <w:rFonts w:eastAsia="Arial"/>
          <w:sz w:val="24"/>
          <w:szCs w:val="24"/>
        </w:rPr>
        <w:t>-</w:t>
      </w:r>
      <w:r w:rsidRPr="006D25C1">
        <w:rPr>
          <w:rFonts w:eastAsia="Arial"/>
          <w:sz w:val="24"/>
          <w:szCs w:val="24"/>
        </w:rPr>
        <w:t>po zahtjevu stranke (u skladu s Odlukom o komunalnom doprinosu koja je na snazi u</w:t>
      </w:r>
    </w:p>
    <w:p w:rsidR="00382460" w:rsidRPr="006D25C1" w:rsidRDefault="00382460" w:rsidP="00382460">
      <w:pPr>
        <w:rPr>
          <w:sz w:val="24"/>
          <w:szCs w:val="24"/>
        </w:rPr>
      </w:pPr>
      <w:r w:rsidRPr="006D25C1">
        <w:rPr>
          <w:rFonts w:eastAsia="Arial"/>
          <w:sz w:val="24"/>
          <w:szCs w:val="24"/>
        </w:rPr>
        <w:t>vrijeme podnošenja zahtjeva stranke za donošenje tog rješenja).</w:t>
      </w:r>
    </w:p>
    <w:p w:rsidR="00382460" w:rsidRDefault="00382460" w:rsidP="00382460">
      <w:pPr>
        <w:spacing w:line="262" w:lineRule="auto"/>
        <w:ind w:firstLine="708"/>
        <w:jc w:val="both"/>
        <w:rPr>
          <w:rFonts w:eastAsia="Arial"/>
          <w:sz w:val="24"/>
          <w:szCs w:val="24"/>
        </w:rPr>
      </w:pPr>
      <w:r>
        <w:rPr>
          <w:rFonts w:eastAsia="Arial"/>
          <w:sz w:val="24"/>
          <w:szCs w:val="24"/>
        </w:rPr>
        <w:t xml:space="preserve">Ako je Općina </w:t>
      </w:r>
      <w:r w:rsidR="00AB47D4">
        <w:rPr>
          <w:rFonts w:eastAsia="Arial"/>
          <w:sz w:val="24"/>
          <w:szCs w:val="24"/>
        </w:rPr>
        <w:t>Sveti Martin na Muri</w:t>
      </w:r>
      <w:r w:rsidRPr="006D25C1">
        <w:rPr>
          <w:rFonts w:eastAsia="Arial"/>
          <w:sz w:val="24"/>
          <w:szCs w:val="24"/>
        </w:rPr>
        <w:t xml:space="preserve"> u skladu sa Zakon</w:t>
      </w:r>
      <w:r>
        <w:rPr>
          <w:rFonts w:eastAsia="Arial"/>
          <w:sz w:val="24"/>
          <w:szCs w:val="24"/>
        </w:rPr>
        <w:t>om o prostornom uređenju sklopila</w:t>
      </w:r>
      <w:r w:rsidRPr="006D25C1">
        <w:rPr>
          <w:rFonts w:eastAsia="Arial"/>
          <w:sz w:val="24"/>
          <w:szCs w:val="24"/>
        </w:rPr>
        <w:t xml:space="preserve"> ugovor kojim se obvezuje djelomično ili u cijelosti prebiti potraživanja s obvezom plaćanja komunalnog doprinosa, Rješenje o komunalnom dopr</w:t>
      </w:r>
      <w:r>
        <w:rPr>
          <w:rFonts w:eastAsia="Arial"/>
          <w:sz w:val="24"/>
          <w:szCs w:val="24"/>
        </w:rPr>
        <w:t>inosu donosi se i u skladu s tim</w:t>
      </w:r>
    </w:p>
    <w:p w:rsidR="00382460" w:rsidRPr="006D25C1" w:rsidRDefault="00382460" w:rsidP="00382460">
      <w:pPr>
        <w:spacing w:line="239" w:lineRule="auto"/>
        <w:jc w:val="both"/>
        <w:rPr>
          <w:sz w:val="24"/>
          <w:szCs w:val="24"/>
        </w:rPr>
      </w:pPr>
      <w:bookmarkStart w:id="0" w:name="page6"/>
      <w:bookmarkEnd w:id="0"/>
      <w:r w:rsidRPr="006D25C1">
        <w:rPr>
          <w:rFonts w:eastAsia="Arial"/>
          <w:sz w:val="24"/>
          <w:szCs w:val="24"/>
        </w:rPr>
        <w:t>ugovorom. Ugovara se plaćanje komunalnog doprinosa u iznosu stvarnih troškova sukladno odredbama Zakona o komun</w:t>
      </w:r>
      <w:r>
        <w:rPr>
          <w:rFonts w:eastAsia="Arial"/>
          <w:sz w:val="24"/>
          <w:szCs w:val="24"/>
        </w:rPr>
        <w:t xml:space="preserve">alnom gospodarstvu. Općina </w:t>
      </w:r>
      <w:r w:rsidR="00AB47D4">
        <w:rPr>
          <w:rFonts w:eastAsia="Arial"/>
          <w:sz w:val="24"/>
          <w:szCs w:val="24"/>
        </w:rPr>
        <w:t>Sveti Martin na Muri</w:t>
      </w:r>
      <w:r>
        <w:rPr>
          <w:rFonts w:eastAsia="Arial"/>
          <w:sz w:val="24"/>
          <w:szCs w:val="24"/>
        </w:rPr>
        <w:t xml:space="preserve"> dužna</w:t>
      </w:r>
      <w:r w:rsidRPr="006D25C1">
        <w:rPr>
          <w:rFonts w:eastAsia="Arial"/>
          <w:sz w:val="24"/>
          <w:szCs w:val="24"/>
        </w:rPr>
        <w:t xml:space="preserve"> je provesti postupak javne nabave sukladno Zakonu o javnoj nabavi.</w:t>
      </w:r>
    </w:p>
    <w:p w:rsidR="00382460" w:rsidRPr="006D25C1" w:rsidRDefault="00382460" w:rsidP="00382460">
      <w:pPr>
        <w:spacing w:line="2" w:lineRule="exact"/>
        <w:rPr>
          <w:sz w:val="24"/>
          <w:szCs w:val="24"/>
        </w:rPr>
      </w:pPr>
    </w:p>
    <w:p w:rsidR="00382460" w:rsidRPr="006D25C1" w:rsidRDefault="00382460" w:rsidP="00382460">
      <w:pPr>
        <w:ind w:left="4" w:firstLine="708"/>
        <w:jc w:val="both"/>
        <w:rPr>
          <w:sz w:val="24"/>
          <w:szCs w:val="24"/>
        </w:rPr>
      </w:pPr>
      <w:r w:rsidRPr="006D25C1">
        <w:rPr>
          <w:rFonts w:eastAsia="Arial"/>
          <w:sz w:val="24"/>
          <w:szCs w:val="24"/>
        </w:rPr>
        <w:t>U slučaju da su troškovi izgradnje predmetnih objekata komunalne infrastrukture manji od utvrđenog iznosa komunalnog doprinosa obveznik je dužan platiti njegovu razliku.</w:t>
      </w:r>
    </w:p>
    <w:p w:rsidR="00382460" w:rsidRDefault="00382460" w:rsidP="00382460">
      <w:pPr>
        <w:spacing w:line="238" w:lineRule="auto"/>
        <w:ind w:left="4" w:right="20" w:firstLine="708"/>
        <w:jc w:val="both"/>
        <w:rPr>
          <w:rFonts w:eastAsia="Arial"/>
          <w:sz w:val="24"/>
          <w:szCs w:val="24"/>
        </w:rPr>
      </w:pPr>
      <w:r>
        <w:rPr>
          <w:rFonts w:eastAsia="Arial"/>
          <w:sz w:val="24"/>
          <w:szCs w:val="24"/>
        </w:rPr>
        <w:lastRenderedPageBreak/>
        <w:t>Općinsko</w:t>
      </w:r>
      <w:r w:rsidRPr="006D25C1">
        <w:rPr>
          <w:rFonts w:eastAsia="Arial"/>
          <w:sz w:val="24"/>
          <w:szCs w:val="24"/>
        </w:rPr>
        <w:t xml:space="preserve"> vijeće na prijedlog načelnika i načelnik (sukladno iznosu o kojem prema Zakonu može samostalno odlučivati) donose Odluku o financiranju komunalne infrastrukture.</w:t>
      </w:r>
    </w:p>
    <w:p w:rsidR="00382460" w:rsidRPr="006D25C1" w:rsidRDefault="00382460" w:rsidP="00382460">
      <w:pPr>
        <w:spacing w:line="238" w:lineRule="auto"/>
        <w:ind w:left="4" w:right="20" w:firstLine="708"/>
        <w:jc w:val="both"/>
        <w:rPr>
          <w:sz w:val="24"/>
          <w:szCs w:val="24"/>
        </w:rPr>
      </w:pPr>
    </w:p>
    <w:p w:rsidR="00382460" w:rsidRPr="006D25C1" w:rsidRDefault="00382460" w:rsidP="00382460">
      <w:pPr>
        <w:spacing w:line="2" w:lineRule="exact"/>
        <w:rPr>
          <w:sz w:val="24"/>
          <w:szCs w:val="24"/>
        </w:rPr>
      </w:pPr>
    </w:p>
    <w:p w:rsidR="00382460" w:rsidRPr="006D25C1" w:rsidRDefault="00382460" w:rsidP="00382460">
      <w:pPr>
        <w:ind w:left="3984"/>
        <w:rPr>
          <w:sz w:val="24"/>
          <w:szCs w:val="24"/>
        </w:rPr>
      </w:pPr>
      <w:r w:rsidRPr="006D25C1">
        <w:rPr>
          <w:rFonts w:eastAsia="Arial"/>
          <w:b/>
          <w:bCs/>
          <w:sz w:val="24"/>
          <w:szCs w:val="24"/>
        </w:rPr>
        <w:t>Članak 1</w:t>
      </w:r>
      <w:r w:rsidR="00AB47D4">
        <w:rPr>
          <w:rFonts w:eastAsia="Arial"/>
          <w:b/>
          <w:bCs/>
          <w:sz w:val="24"/>
          <w:szCs w:val="24"/>
        </w:rPr>
        <w:t>4</w:t>
      </w:r>
      <w:r w:rsidRPr="006D25C1">
        <w:rPr>
          <w:rFonts w:eastAsia="Arial"/>
          <w:b/>
          <w:bCs/>
          <w:sz w:val="24"/>
          <w:szCs w:val="24"/>
        </w:rPr>
        <w:t>.</w:t>
      </w:r>
    </w:p>
    <w:p w:rsidR="00382460" w:rsidRPr="006D25C1" w:rsidRDefault="00382460" w:rsidP="00382460">
      <w:pPr>
        <w:spacing w:line="256" w:lineRule="exact"/>
        <w:rPr>
          <w:sz w:val="24"/>
          <w:szCs w:val="24"/>
        </w:rPr>
      </w:pPr>
    </w:p>
    <w:p w:rsidR="00382460" w:rsidRPr="006D25C1" w:rsidRDefault="00382460" w:rsidP="00382460">
      <w:pPr>
        <w:ind w:left="704"/>
        <w:rPr>
          <w:sz w:val="24"/>
          <w:szCs w:val="24"/>
        </w:rPr>
      </w:pPr>
      <w:r w:rsidRPr="006D25C1">
        <w:rPr>
          <w:rFonts w:eastAsia="Arial"/>
          <w:sz w:val="24"/>
          <w:szCs w:val="24"/>
        </w:rPr>
        <w:t>Rješenje iz prethodnog članka ove Odluke sadrži:</w:t>
      </w:r>
    </w:p>
    <w:p w:rsidR="00382460" w:rsidRPr="006D25C1" w:rsidRDefault="00382460" w:rsidP="00382460">
      <w:pPr>
        <w:numPr>
          <w:ilvl w:val="0"/>
          <w:numId w:val="7"/>
        </w:numPr>
        <w:tabs>
          <w:tab w:val="left" w:pos="144"/>
        </w:tabs>
        <w:ind w:left="144" w:hanging="144"/>
        <w:rPr>
          <w:rFonts w:eastAsia="Arial"/>
          <w:sz w:val="24"/>
          <w:szCs w:val="24"/>
        </w:rPr>
      </w:pPr>
      <w:r w:rsidRPr="006D25C1">
        <w:rPr>
          <w:rFonts w:eastAsia="Arial"/>
          <w:sz w:val="24"/>
          <w:szCs w:val="24"/>
        </w:rPr>
        <w:t>podatke o obvezniku komunalnog doprinosa</w:t>
      </w:r>
    </w:p>
    <w:p w:rsidR="00382460" w:rsidRPr="006D25C1" w:rsidRDefault="00382460" w:rsidP="00382460">
      <w:pPr>
        <w:spacing w:line="1" w:lineRule="exact"/>
        <w:rPr>
          <w:rFonts w:eastAsia="Arial"/>
          <w:sz w:val="24"/>
          <w:szCs w:val="24"/>
        </w:rPr>
      </w:pPr>
    </w:p>
    <w:p w:rsidR="00382460" w:rsidRPr="006D25C1" w:rsidRDefault="00382460" w:rsidP="00382460">
      <w:pPr>
        <w:numPr>
          <w:ilvl w:val="0"/>
          <w:numId w:val="7"/>
        </w:numPr>
        <w:tabs>
          <w:tab w:val="left" w:pos="144"/>
        </w:tabs>
        <w:spacing w:line="239" w:lineRule="auto"/>
        <w:ind w:left="144" w:hanging="144"/>
        <w:rPr>
          <w:rFonts w:eastAsia="Arial"/>
          <w:sz w:val="24"/>
          <w:szCs w:val="24"/>
        </w:rPr>
      </w:pPr>
      <w:r w:rsidRPr="006D25C1">
        <w:rPr>
          <w:rFonts w:eastAsia="Arial"/>
          <w:sz w:val="24"/>
          <w:szCs w:val="24"/>
        </w:rPr>
        <w:t>iznos sredstava komunalnog doprinosa koji je obveznik dužan platiti</w:t>
      </w:r>
    </w:p>
    <w:p w:rsidR="00382460" w:rsidRPr="006D25C1" w:rsidRDefault="00382460" w:rsidP="00382460">
      <w:pPr>
        <w:numPr>
          <w:ilvl w:val="0"/>
          <w:numId w:val="7"/>
        </w:numPr>
        <w:tabs>
          <w:tab w:val="left" w:pos="144"/>
        </w:tabs>
        <w:spacing w:line="239" w:lineRule="auto"/>
        <w:ind w:left="144" w:hanging="144"/>
        <w:rPr>
          <w:rFonts w:eastAsia="Arial"/>
          <w:sz w:val="24"/>
          <w:szCs w:val="24"/>
        </w:rPr>
      </w:pPr>
      <w:r w:rsidRPr="006D25C1">
        <w:rPr>
          <w:rFonts w:eastAsia="Arial"/>
          <w:sz w:val="24"/>
          <w:szCs w:val="24"/>
        </w:rPr>
        <w:t>obvezu, način i rokove plaćanja komunalnog doprinosa i</w:t>
      </w:r>
    </w:p>
    <w:p w:rsidR="00382460" w:rsidRPr="006D25C1" w:rsidRDefault="00382460" w:rsidP="00382460">
      <w:pPr>
        <w:numPr>
          <w:ilvl w:val="0"/>
          <w:numId w:val="7"/>
        </w:numPr>
        <w:tabs>
          <w:tab w:val="left" w:pos="141"/>
        </w:tabs>
        <w:ind w:left="4" w:hanging="4"/>
        <w:rPr>
          <w:rFonts w:eastAsia="Arial"/>
          <w:sz w:val="24"/>
          <w:szCs w:val="24"/>
        </w:rPr>
      </w:pPr>
      <w:r w:rsidRPr="006D25C1">
        <w:rPr>
          <w:rFonts w:eastAsia="Arial"/>
          <w:sz w:val="24"/>
          <w:szCs w:val="24"/>
        </w:rPr>
        <w:t>prikaz načina obračuna komunalnog doprinosa za građevinu koja se gradi ili je izgrađena s iskazom obujma, odnosno površine građevine i jedinične vrijednosti komunalnog doprinosa</w:t>
      </w:r>
    </w:p>
    <w:p w:rsidR="00382460" w:rsidRPr="006D25C1" w:rsidRDefault="00382460" w:rsidP="00382460">
      <w:pPr>
        <w:spacing w:line="238" w:lineRule="auto"/>
        <w:ind w:left="4" w:right="20" w:firstLine="708"/>
        <w:rPr>
          <w:rFonts w:eastAsia="Arial"/>
          <w:sz w:val="24"/>
          <w:szCs w:val="24"/>
        </w:rPr>
      </w:pPr>
      <w:r w:rsidRPr="006D25C1">
        <w:rPr>
          <w:rFonts w:eastAsia="Arial"/>
          <w:sz w:val="24"/>
          <w:szCs w:val="24"/>
        </w:rPr>
        <w:t>Rješenje o komunalnom doprinosu koje nema sadržaj propisan prethodnim stavkom ovog članka, ništavo je</w:t>
      </w:r>
      <w:r w:rsidRPr="006D25C1">
        <w:rPr>
          <w:rFonts w:eastAsia="Arial"/>
          <w:color w:val="0070C0"/>
          <w:sz w:val="24"/>
          <w:szCs w:val="24"/>
        </w:rPr>
        <w:t>.</w:t>
      </w:r>
    </w:p>
    <w:p w:rsidR="00382460" w:rsidRPr="006D25C1" w:rsidRDefault="00382460" w:rsidP="00382460">
      <w:pPr>
        <w:spacing w:line="1" w:lineRule="exact"/>
        <w:rPr>
          <w:sz w:val="24"/>
          <w:szCs w:val="24"/>
        </w:rPr>
      </w:pPr>
    </w:p>
    <w:p w:rsidR="00382460" w:rsidRPr="006D25C1" w:rsidRDefault="00382460" w:rsidP="00382460">
      <w:pPr>
        <w:ind w:right="-3"/>
        <w:jc w:val="center"/>
        <w:rPr>
          <w:sz w:val="24"/>
          <w:szCs w:val="24"/>
        </w:rPr>
      </w:pPr>
      <w:r w:rsidRPr="006D25C1">
        <w:rPr>
          <w:rFonts w:eastAsia="Arial"/>
          <w:b/>
          <w:bCs/>
          <w:sz w:val="24"/>
          <w:szCs w:val="24"/>
        </w:rPr>
        <w:t>Članak 1</w:t>
      </w:r>
      <w:r w:rsidR="00AB47D4">
        <w:rPr>
          <w:rFonts w:eastAsia="Arial"/>
          <w:b/>
          <w:bCs/>
          <w:sz w:val="24"/>
          <w:szCs w:val="24"/>
        </w:rPr>
        <w:t>5</w:t>
      </w:r>
      <w:r w:rsidRPr="006D25C1">
        <w:rPr>
          <w:rFonts w:eastAsia="Arial"/>
          <w:b/>
          <w:bCs/>
          <w:sz w:val="24"/>
          <w:szCs w:val="24"/>
        </w:rPr>
        <w:t>.</w:t>
      </w:r>
    </w:p>
    <w:p w:rsidR="00382460" w:rsidRPr="006D25C1" w:rsidRDefault="00382460" w:rsidP="00382460">
      <w:pPr>
        <w:spacing w:line="257" w:lineRule="exact"/>
        <w:rPr>
          <w:sz w:val="24"/>
          <w:szCs w:val="24"/>
        </w:rPr>
      </w:pPr>
    </w:p>
    <w:p w:rsidR="00382460" w:rsidRPr="006D25C1" w:rsidRDefault="00382460" w:rsidP="00382460">
      <w:pPr>
        <w:spacing w:line="239" w:lineRule="auto"/>
        <w:ind w:left="4" w:right="20" w:firstLine="708"/>
        <w:jc w:val="both"/>
        <w:rPr>
          <w:sz w:val="24"/>
          <w:szCs w:val="24"/>
        </w:rPr>
      </w:pPr>
      <w:r w:rsidRPr="006D25C1">
        <w:rPr>
          <w:rFonts w:eastAsia="Arial"/>
          <w:sz w:val="24"/>
          <w:szCs w:val="24"/>
        </w:rPr>
        <w:t xml:space="preserve">Rješenje o komunalnom doprinosu donosi se i </w:t>
      </w:r>
      <w:proofErr w:type="spellStart"/>
      <w:r w:rsidRPr="006D25C1">
        <w:rPr>
          <w:rFonts w:eastAsia="Arial"/>
          <w:sz w:val="24"/>
          <w:szCs w:val="24"/>
        </w:rPr>
        <w:t>ovršava</w:t>
      </w:r>
      <w:proofErr w:type="spellEnd"/>
      <w:r w:rsidRPr="006D25C1">
        <w:rPr>
          <w:rFonts w:eastAsia="Arial"/>
          <w:sz w:val="24"/>
          <w:szCs w:val="24"/>
        </w:rPr>
        <w:t xml:space="preserve"> u postupku i na način propisan Općim poreznim zakonom, ako Zakonom o komunalnom gospodarstvu nije propisano drukčije.</w:t>
      </w:r>
    </w:p>
    <w:p w:rsidR="00382460" w:rsidRPr="006D25C1" w:rsidRDefault="00382460" w:rsidP="00382460">
      <w:pPr>
        <w:spacing w:line="2" w:lineRule="exact"/>
        <w:rPr>
          <w:sz w:val="24"/>
          <w:szCs w:val="24"/>
        </w:rPr>
      </w:pPr>
    </w:p>
    <w:p w:rsidR="00382460" w:rsidRDefault="00382460" w:rsidP="00382460">
      <w:pPr>
        <w:spacing w:line="239" w:lineRule="auto"/>
        <w:ind w:left="4" w:right="20" w:firstLine="708"/>
        <w:jc w:val="both"/>
        <w:rPr>
          <w:rFonts w:eastAsia="Arial"/>
          <w:sz w:val="24"/>
          <w:szCs w:val="24"/>
        </w:rPr>
      </w:pPr>
      <w:r w:rsidRPr="006D25C1">
        <w:rPr>
          <w:rFonts w:eastAsia="Arial"/>
          <w:sz w:val="24"/>
          <w:szCs w:val="24"/>
        </w:rPr>
        <w:t>Protiv rješenja o komunalnom doprinosu i rješenja o njegovoj ovrsi, rješenja o njegovoj izmjeni, dopuni, ukidanju ili poništenju, rješenja o odbijanju ili odbacivanju zahtjeva za donošenje tog rješenja te rješenja o obustavi postupka, može se izjaviti žalba o kojoj odlučuje upravno tijelo Međimurske županije nadležno za poslove komunalnog gospodarstva.</w:t>
      </w:r>
    </w:p>
    <w:p w:rsidR="00382460" w:rsidRPr="006D25C1" w:rsidRDefault="00382460" w:rsidP="00382460">
      <w:pPr>
        <w:spacing w:line="239" w:lineRule="auto"/>
        <w:ind w:left="4" w:right="20" w:firstLine="708"/>
        <w:jc w:val="both"/>
        <w:rPr>
          <w:sz w:val="24"/>
          <w:szCs w:val="24"/>
        </w:rPr>
      </w:pPr>
    </w:p>
    <w:p w:rsidR="00382460" w:rsidRPr="006D25C1" w:rsidRDefault="00382460" w:rsidP="00382460">
      <w:pPr>
        <w:spacing w:line="1" w:lineRule="exact"/>
        <w:rPr>
          <w:sz w:val="24"/>
          <w:szCs w:val="24"/>
        </w:rPr>
      </w:pPr>
    </w:p>
    <w:p w:rsidR="00382460" w:rsidRPr="006D25C1" w:rsidRDefault="00382460" w:rsidP="00382460">
      <w:pPr>
        <w:ind w:right="16"/>
        <w:jc w:val="center"/>
        <w:rPr>
          <w:sz w:val="24"/>
          <w:szCs w:val="24"/>
        </w:rPr>
      </w:pPr>
      <w:r w:rsidRPr="006D25C1">
        <w:rPr>
          <w:rFonts w:eastAsia="Arial"/>
          <w:b/>
          <w:bCs/>
          <w:sz w:val="24"/>
          <w:szCs w:val="24"/>
        </w:rPr>
        <w:t>Članak 1</w:t>
      </w:r>
      <w:r w:rsidR="00AB47D4">
        <w:rPr>
          <w:rFonts w:eastAsia="Arial"/>
          <w:b/>
          <w:bCs/>
          <w:sz w:val="24"/>
          <w:szCs w:val="24"/>
        </w:rPr>
        <w:t>6</w:t>
      </w:r>
      <w:r w:rsidRPr="006D25C1">
        <w:rPr>
          <w:rFonts w:eastAsia="Arial"/>
          <w:b/>
          <w:bCs/>
          <w:sz w:val="24"/>
          <w:szCs w:val="24"/>
        </w:rPr>
        <w:t>.</w:t>
      </w:r>
    </w:p>
    <w:p w:rsidR="00382460" w:rsidRPr="006D25C1" w:rsidRDefault="00382460" w:rsidP="00382460">
      <w:pPr>
        <w:spacing w:line="257" w:lineRule="exact"/>
        <w:rPr>
          <w:sz w:val="24"/>
          <w:szCs w:val="24"/>
        </w:rPr>
      </w:pPr>
    </w:p>
    <w:p w:rsidR="00382460" w:rsidRPr="006D25C1" w:rsidRDefault="00382460" w:rsidP="00382460">
      <w:pPr>
        <w:ind w:left="4" w:firstLine="708"/>
        <w:jc w:val="both"/>
        <w:rPr>
          <w:sz w:val="24"/>
          <w:szCs w:val="24"/>
        </w:rPr>
      </w:pPr>
      <w:r w:rsidRPr="006D25C1">
        <w:rPr>
          <w:rFonts w:eastAsia="Arial"/>
          <w:sz w:val="24"/>
          <w:szCs w:val="24"/>
        </w:rPr>
        <w:t>Rješenje o komunalnom doprinosu donosi se po pravomoćnosti građevinske dozvole, odnosno rješenja o izvedenom stanju, a u slučaju građenja građevina koje se prema posebnim propisima grade bez građevinske dozvole nakon prijave početka građenja ili nakon početka građenja.</w:t>
      </w:r>
    </w:p>
    <w:p w:rsidR="00382460" w:rsidRPr="006D25C1" w:rsidRDefault="00382460" w:rsidP="00382460">
      <w:pPr>
        <w:spacing w:line="1" w:lineRule="exact"/>
        <w:rPr>
          <w:sz w:val="24"/>
          <w:szCs w:val="24"/>
        </w:rPr>
      </w:pPr>
    </w:p>
    <w:p w:rsidR="00382460" w:rsidRPr="006D25C1" w:rsidRDefault="00382460" w:rsidP="00382460">
      <w:pPr>
        <w:spacing w:line="239" w:lineRule="auto"/>
        <w:ind w:left="4" w:firstLine="708"/>
        <w:jc w:val="both"/>
        <w:rPr>
          <w:sz w:val="24"/>
          <w:szCs w:val="24"/>
        </w:rPr>
      </w:pPr>
      <w:r w:rsidRPr="006D25C1">
        <w:rPr>
          <w:rFonts w:eastAsia="Arial"/>
          <w:sz w:val="24"/>
          <w:szCs w:val="24"/>
        </w:rPr>
        <w:t>Iznimno od prethodnog stavka ovoga članka rješenje o komunalnom doprinosu za skladište i građevinu namijenjenu proizvodnji donosi se po pravomoćnosti uporabne dozvole, odnosno nakon što se je građevina te namjene počela koristiti ako se koristi bez uporabne dozvole.</w:t>
      </w:r>
    </w:p>
    <w:p w:rsidR="00382460" w:rsidRPr="006D25C1" w:rsidRDefault="00382460" w:rsidP="00382460">
      <w:pPr>
        <w:spacing w:line="3" w:lineRule="exact"/>
        <w:rPr>
          <w:sz w:val="24"/>
          <w:szCs w:val="24"/>
        </w:rPr>
      </w:pPr>
    </w:p>
    <w:p w:rsidR="00382460" w:rsidRPr="00B903C1" w:rsidRDefault="00382460" w:rsidP="00B903C1">
      <w:pPr>
        <w:spacing w:line="285" w:lineRule="auto"/>
        <w:ind w:left="4" w:firstLine="708"/>
        <w:jc w:val="both"/>
        <w:rPr>
          <w:rFonts w:eastAsia="Arial"/>
          <w:sz w:val="24"/>
          <w:szCs w:val="24"/>
        </w:rPr>
      </w:pPr>
      <w:r w:rsidRPr="006D25C1">
        <w:rPr>
          <w:rFonts w:eastAsia="Arial"/>
          <w:sz w:val="24"/>
          <w:szCs w:val="24"/>
        </w:rPr>
        <w:t>Uporabna dozvola za skladište ili građevinu namijenjenu proizvodnji dost</w:t>
      </w:r>
      <w:r>
        <w:rPr>
          <w:rFonts w:eastAsia="Arial"/>
          <w:sz w:val="24"/>
          <w:szCs w:val="24"/>
        </w:rPr>
        <w:t xml:space="preserve">avlja se na znanje Općini </w:t>
      </w:r>
      <w:r w:rsidR="00AB47D4">
        <w:rPr>
          <w:rFonts w:eastAsia="Arial"/>
          <w:sz w:val="24"/>
          <w:szCs w:val="24"/>
        </w:rPr>
        <w:t>Sveti Martin na Muri</w:t>
      </w:r>
      <w:r w:rsidRPr="006D25C1">
        <w:rPr>
          <w:rFonts w:eastAsia="Arial"/>
          <w:sz w:val="24"/>
          <w:szCs w:val="24"/>
        </w:rPr>
        <w:t xml:space="preserve"> kao području na kojem se nalazi skladište odnosno građevina.</w:t>
      </w:r>
    </w:p>
    <w:p w:rsidR="00382460" w:rsidRPr="006D25C1" w:rsidRDefault="00382460" w:rsidP="00382460">
      <w:pPr>
        <w:spacing w:line="154" w:lineRule="exact"/>
        <w:rPr>
          <w:sz w:val="24"/>
          <w:szCs w:val="24"/>
        </w:rPr>
      </w:pPr>
    </w:p>
    <w:p w:rsidR="00382460" w:rsidRDefault="00382460" w:rsidP="00382460">
      <w:pPr>
        <w:ind w:left="4"/>
        <w:rPr>
          <w:rFonts w:eastAsia="Arial"/>
          <w:b/>
          <w:bCs/>
          <w:sz w:val="24"/>
          <w:szCs w:val="24"/>
        </w:rPr>
      </w:pPr>
      <w:r w:rsidRPr="006D25C1">
        <w:rPr>
          <w:rFonts w:eastAsia="Arial"/>
          <w:b/>
          <w:bCs/>
          <w:sz w:val="24"/>
          <w:szCs w:val="24"/>
        </w:rPr>
        <w:t>Izmjena ovršnog odnosno pravomoćnog rješenja o komunalnom doprinosu</w:t>
      </w:r>
    </w:p>
    <w:p w:rsidR="00382460" w:rsidRPr="006D25C1" w:rsidRDefault="00382460" w:rsidP="00382460">
      <w:pPr>
        <w:spacing w:line="253" w:lineRule="exact"/>
        <w:rPr>
          <w:sz w:val="24"/>
          <w:szCs w:val="24"/>
        </w:rPr>
      </w:pPr>
    </w:p>
    <w:p w:rsidR="00382460" w:rsidRPr="006D25C1" w:rsidRDefault="00382460" w:rsidP="00382460">
      <w:pPr>
        <w:ind w:left="3984"/>
        <w:rPr>
          <w:sz w:val="24"/>
          <w:szCs w:val="24"/>
        </w:rPr>
      </w:pPr>
      <w:r w:rsidRPr="006D25C1">
        <w:rPr>
          <w:rFonts w:eastAsia="Arial"/>
          <w:b/>
          <w:bCs/>
          <w:sz w:val="24"/>
          <w:szCs w:val="24"/>
        </w:rPr>
        <w:t xml:space="preserve">Članak </w:t>
      </w:r>
      <w:r w:rsidR="00AB47D4">
        <w:rPr>
          <w:rFonts w:eastAsia="Arial"/>
          <w:b/>
          <w:bCs/>
          <w:sz w:val="24"/>
          <w:szCs w:val="24"/>
        </w:rPr>
        <w:t>17</w:t>
      </w:r>
      <w:r w:rsidRPr="006D25C1">
        <w:rPr>
          <w:rFonts w:eastAsia="Arial"/>
          <w:b/>
          <w:bCs/>
          <w:sz w:val="24"/>
          <w:szCs w:val="24"/>
        </w:rPr>
        <w:t>.</w:t>
      </w:r>
    </w:p>
    <w:p w:rsidR="00382460" w:rsidRPr="006D25C1" w:rsidRDefault="00382460" w:rsidP="00382460">
      <w:pPr>
        <w:spacing w:line="257" w:lineRule="exact"/>
        <w:rPr>
          <w:sz w:val="24"/>
          <w:szCs w:val="24"/>
        </w:rPr>
      </w:pPr>
    </w:p>
    <w:p w:rsidR="00382460" w:rsidRPr="006D25C1" w:rsidRDefault="00382460" w:rsidP="00382460">
      <w:pPr>
        <w:ind w:left="4" w:firstLine="708"/>
        <w:jc w:val="both"/>
        <w:rPr>
          <w:sz w:val="24"/>
          <w:szCs w:val="24"/>
        </w:rPr>
      </w:pPr>
      <w:r w:rsidRPr="006D25C1">
        <w:rPr>
          <w:rFonts w:eastAsia="Arial"/>
          <w:sz w:val="24"/>
          <w:szCs w:val="24"/>
        </w:rPr>
        <w:t>Ako je izmijenjena građevinska dozvola, drugi ak</w:t>
      </w:r>
      <w:r>
        <w:rPr>
          <w:rFonts w:eastAsia="Arial"/>
          <w:sz w:val="24"/>
          <w:szCs w:val="24"/>
        </w:rPr>
        <w:t>t za građenje ili glavni projek</w:t>
      </w:r>
      <w:r w:rsidRPr="006D25C1">
        <w:rPr>
          <w:rFonts w:eastAsia="Arial"/>
          <w:sz w:val="24"/>
          <w:szCs w:val="24"/>
        </w:rPr>
        <w:t>t, na način koji utječe na obrač</w:t>
      </w:r>
      <w:r>
        <w:rPr>
          <w:rFonts w:eastAsia="Arial"/>
          <w:sz w:val="24"/>
          <w:szCs w:val="24"/>
        </w:rPr>
        <w:t xml:space="preserve">un komunalnog doprinosa, Jedinstveni upravni odjel </w:t>
      </w:r>
      <w:r w:rsidRPr="006D25C1">
        <w:rPr>
          <w:rFonts w:eastAsia="Arial"/>
          <w:sz w:val="24"/>
          <w:szCs w:val="24"/>
        </w:rPr>
        <w:t xml:space="preserve"> po službenoj dužnosti ili po zahtjevu obveznika komunalnog doprinosa ili investitora izmijeniti će ovršno, odnosno pravomoćno rješenje o komunalnom doprinosu.</w:t>
      </w:r>
    </w:p>
    <w:p w:rsidR="00382460" w:rsidRPr="006D25C1" w:rsidRDefault="00382460" w:rsidP="00382460">
      <w:pPr>
        <w:spacing w:line="1" w:lineRule="exact"/>
        <w:rPr>
          <w:sz w:val="24"/>
          <w:szCs w:val="24"/>
        </w:rPr>
      </w:pPr>
    </w:p>
    <w:p w:rsidR="00382460" w:rsidRDefault="00382460" w:rsidP="00382460">
      <w:pPr>
        <w:spacing w:line="239" w:lineRule="auto"/>
        <w:ind w:left="4" w:firstLine="709"/>
        <w:jc w:val="both"/>
        <w:rPr>
          <w:rFonts w:eastAsia="Arial"/>
          <w:sz w:val="24"/>
          <w:szCs w:val="24"/>
        </w:rPr>
      </w:pPr>
      <w:r w:rsidRPr="006D25C1">
        <w:rPr>
          <w:rFonts w:eastAsia="Arial"/>
          <w:sz w:val="24"/>
          <w:szCs w:val="24"/>
        </w:rPr>
        <w:t>Rješenjem o izmjeni Rješenja o komunalnom doprinosu iz prethodnog stavka ovog članka, obračunati će se komunalni doprinos prema izmjeni te odrediti plaćanje ili povrat razlike komunalnog doprinosa prema Odluci o komunalnom doprinosu, po kojoj je rješenje o komunalnom doprinosu doneseno.</w:t>
      </w:r>
    </w:p>
    <w:p w:rsidR="00382460" w:rsidRPr="006D25C1" w:rsidRDefault="00382460" w:rsidP="00382460">
      <w:pPr>
        <w:spacing w:line="3" w:lineRule="exact"/>
        <w:rPr>
          <w:sz w:val="24"/>
          <w:szCs w:val="24"/>
        </w:rPr>
      </w:pPr>
    </w:p>
    <w:p w:rsidR="00382460" w:rsidRDefault="00382460" w:rsidP="00382460">
      <w:pPr>
        <w:spacing w:line="285" w:lineRule="auto"/>
        <w:ind w:left="4" w:right="180" w:firstLine="708"/>
        <w:rPr>
          <w:rFonts w:eastAsia="Arial"/>
          <w:sz w:val="24"/>
          <w:szCs w:val="24"/>
        </w:rPr>
      </w:pPr>
      <w:r w:rsidRPr="006D25C1">
        <w:rPr>
          <w:rFonts w:eastAsia="Arial"/>
          <w:sz w:val="24"/>
          <w:szCs w:val="24"/>
        </w:rPr>
        <w:t>Kod povrata iz prethodnog stavka ovog članka, obveznik, odnosno investitor nemaju pravo na kamatu.</w:t>
      </w:r>
    </w:p>
    <w:p w:rsidR="00B30691" w:rsidRDefault="00B30691" w:rsidP="00382460">
      <w:pPr>
        <w:spacing w:line="285" w:lineRule="auto"/>
        <w:ind w:left="4" w:right="180" w:firstLine="708"/>
        <w:rPr>
          <w:rFonts w:eastAsia="Arial"/>
          <w:sz w:val="24"/>
          <w:szCs w:val="24"/>
        </w:rPr>
      </w:pPr>
    </w:p>
    <w:p w:rsidR="00B30691" w:rsidRDefault="00B30691" w:rsidP="00382460">
      <w:pPr>
        <w:spacing w:line="285" w:lineRule="auto"/>
        <w:ind w:left="4" w:right="180" w:firstLine="708"/>
        <w:rPr>
          <w:rFonts w:eastAsia="Arial"/>
          <w:sz w:val="24"/>
          <w:szCs w:val="24"/>
        </w:rPr>
      </w:pPr>
    </w:p>
    <w:p w:rsidR="00B30691" w:rsidRDefault="00B30691" w:rsidP="00382460">
      <w:pPr>
        <w:spacing w:line="285" w:lineRule="auto"/>
        <w:ind w:left="4" w:right="180" w:firstLine="708"/>
        <w:rPr>
          <w:rFonts w:eastAsia="Arial"/>
          <w:sz w:val="24"/>
          <w:szCs w:val="24"/>
        </w:rPr>
      </w:pPr>
    </w:p>
    <w:p w:rsidR="00B30691" w:rsidRPr="006D25C1" w:rsidRDefault="00B30691" w:rsidP="00382460">
      <w:pPr>
        <w:spacing w:line="285" w:lineRule="auto"/>
        <w:ind w:left="4" w:right="180" w:firstLine="708"/>
        <w:rPr>
          <w:sz w:val="24"/>
          <w:szCs w:val="24"/>
        </w:rPr>
      </w:pPr>
    </w:p>
    <w:p w:rsidR="00382460" w:rsidRPr="00F74A2E" w:rsidRDefault="00382460" w:rsidP="00382460">
      <w:pPr>
        <w:rPr>
          <w:sz w:val="24"/>
          <w:szCs w:val="24"/>
        </w:rPr>
      </w:pPr>
    </w:p>
    <w:p w:rsidR="00382460" w:rsidRPr="006D25C1" w:rsidRDefault="00382460" w:rsidP="00382460">
      <w:pPr>
        <w:rPr>
          <w:sz w:val="24"/>
          <w:szCs w:val="24"/>
        </w:rPr>
      </w:pPr>
      <w:bookmarkStart w:id="1" w:name="page7"/>
      <w:bookmarkEnd w:id="1"/>
      <w:r w:rsidRPr="006D25C1">
        <w:rPr>
          <w:rFonts w:eastAsia="Arial"/>
          <w:b/>
          <w:bCs/>
          <w:sz w:val="24"/>
          <w:szCs w:val="24"/>
        </w:rPr>
        <w:lastRenderedPageBreak/>
        <w:t>Poništenje ovršnog odnosno pravomoćnog rješenja o komunalnom doprinosu</w:t>
      </w:r>
    </w:p>
    <w:p w:rsidR="00382460" w:rsidRPr="006D25C1" w:rsidRDefault="00382460" w:rsidP="00382460">
      <w:pPr>
        <w:spacing w:line="251" w:lineRule="exact"/>
        <w:rPr>
          <w:sz w:val="24"/>
          <w:szCs w:val="24"/>
        </w:rPr>
      </w:pPr>
    </w:p>
    <w:p w:rsidR="00382460" w:rsidRPr="006D25C1" w:rsidRDefault="00382460" w:rsidP="00382460">
      <w:pPr>
        <w:ind w:left="3980"/>
        <w:rPr>
          <w:sz w:val="24"/>
          <w:szCs w:val="24"/>
        </w:rPr>
      </w:pPr>
      <w:r w:rsidRPr="006D25C1">
        <w:rPr>
          <w:rFonts w:eastAsia="Arial"/>
          <w:b/>
          <w:bCs/>
          <w:sz w:val="24"/>
          <w:szCs w:val="24"/>
        </w:rPr>
        <w:t xml:space="preserve">Članak </w:t>
      </w:r>
      <w:r w:rsidR="00AB47D4">
        <w:rPr>
          <w:rFonts w:eastAsia="Arial"/>
          <w:b/>
          <w:bCs/>
          <w:sz w:val="24"/>
          <w:szCs w:val="24"/>
        </w:rPr>
        <w:t>18</w:t>
      </w:r>
      <w:r w:rsidRPr="006D25C1">
        <w:rPr>
          <w:rFonts w:eastAsia="Arial"/>
          <w:b/>
          <w:bCs/>
          <w:sz w:val="24"/>
          <w:szCs w:val="24"/>
        </w:rPr>
        <w:t>.</w:t>
      </w:r>
    </w:p>
    <w:p w:rsidR="00382460" w:rsidRPr="006D25C1" w:rsidRDefault="00382460" w:rsidP="00382460">
      <w:pPr>
        <w:spacing w:line="257" w:lineRule="exact"/>
        <w:rPr>
          <w:sz w:val="24"/>
          <w:szCs w:val="24"/>
        </w:rPr>
      </w:pPr>
    </w:p>
    <w:p w:rsidR="00382460" w:rsidRPr="006D25C1" w:rsidRDefault="00AB47D4" w:rsidP="00382460">
      <w:pPr>
        <w:ind w:firstLine="708"/>
        <w:jc w:val="both"/>
        <w:rPr>
          <w:sz w:val="24"/>
          <w:szCs w:val="24"/>
        </w:rPr>
      </w:pPr>
      <w:r>
        <w:rPr>
          <w:rFonts w:eastAsia="Arial"/>
          <w:sz w:val="24"/>
          <w:szCs w:val="24"/>
        </w:rPr>
        <w:t xml:space="preserve">Jedinstveni upravni </w:t>
      </w:r>
      <w:r w:rsidR="00382460" w:rsidRPr="006D25C1">
        <w:rPr>
          <w:rFonts w:eastAsia="Arial"/>
          <w:sz w:val="24"/>
          <w:szCs w:val="24"/>
        </w:rPr>
        <w:t>odjel poništiti će po zahtjevu obveznika komunalnog doprinosa ili investitora, ovršno, odnosno pravomoćno rješenje o komunalnom doprinosu, ako je građevinska dozvola, drugi akt za građenje oglašen ništavim ili je poništen bez zahtjeva ili suglasnosti investitora.</w:t>
      </w:r>
    </w:p>
    <w:p w:rsidR="00382460" w:rsidRPr="006D25C1" w:rsidRDefault="00382460" w:rsidP="00382460">
      <w:pPr>
        <w:spacing w:line="1" w:lineRule="exact"/>
        <w:rPr>
          <w:sz w:val="24"/>
          <w:szCs w:val="24"/>
        </w:rPr>
      </w:pPr>
    </w:p>
    <w:p w:rsidR="00382460" w:rsidRPr="006D25C1" w:rsidRDefault="00382460" w:rsidP="00382460">
      <w:pPr>
        <w:spacing w:line="239" w:lineRule="auto"/>
        <w:ind w:right="20" w:firstLine="708"/>
        <w:jc w:val="both"/>
        <w:rPr>
          <w:sz w:val="24"/>
          <w:szCs w:val="24"/>
        </w:rPr>
      </w:pPr>
      <w:r w:rsidRPr="006D25C1">
        <w:rPr>
          <w:rFonts w:eastAsia="Arial"/>
          <w:sz w:val="24"/>
          <w:szCs w:val="24"/>
        </w:rPr>
        <w:t>Rješenjem o poništenju Rješenja o komunalnom doprinosu iz prethodnog stavka ovog članka, odrediti će se i povrat komunalnog doprinosa u roku maksimalno do dvije godine od dana izvršnosti Rješenja o komunalnom doprinosu.</w:t>
      </w:r>
    </w:p>
    <w:p w:rsidR="00382460" w:rsidRPr="006D25C1" w:rsidRDefault="00382460" w:rsidP="00382460">
      <w:pPr>
        <w:spacing w:line="2" w:lineRule="exact"/>
        <w:rPr>
          <w:sz w:val="24"/>
          <w:szCs w:val="24"/>
        </w:rPr>
      </w:pPr>
    </w:p>
    <w:p w:rsidR="00382460" w:rsidRDefault="00382460" w:rsidP="00382460">
      <w:pPr>
        <w:spacing w:line="285" w:lineRule="auto"/>
        <w:ind w:right="20" w:firstLine="708"/>
        <w:jc w:val="both"/>
        <w:rPr>
          <w:rFonts w:eastAsia="Arial"/>
          <w:sz w:val="24"/>
          <w:szCs w:val="24"/>
        </w:rPr>
      </w:pPr>
      <w:r w:rsidRPr="006D25C1">
        <w:rPr>
          <w:rFonts w:eastAsia="Arial"/>
          <w:sz w:val="24"/>
          <w:szCs w:val="24"/>
        </w:rPr>
        <w:t>Kod povrata iz prethodnog stavka ovog članka, obveznik, odnosno investitor nemaju pravo na kamatu.</w:t>
      </w:r>
    </w:p>
    <w:p w:rsidR="00382460" w:rsidRPr="006D25C1" w:rsidRDefault="00382460" w:rsidP="00382460">
      <w:pPr>
        <w:spacing w:line="154" w:lineRule="exact"/>
        <w:rPr>
          <w:sz w:val="24"/>
          <w:szCs w:val="24"/>
        </w:rPr>
      </w:pPr>
    </w:p>
    <w:p w:rsidR="00382460" w:rsidRPr="006D25C1" w:rsidRDefault="00382460" w:rsidP="00382460">
      <w:pPr>
        <w:rPr>
          <w:sz w:val="24"/>
          <w:szCs w:val="24"/>
        </w:rPr>
      </w:pPr>
      <w:r w:rsidRPr="006D25C1">
        <w:rPr>
          <w:rFonts w:eastAsia="Arial"/>
          <w:b/>
          <w:bCs/>
          <w:sz w:val="24"/>
          <w:szCs w:val="24"/>
        </w:rPr>
        <w:t>Uračunavanje kao plaćenog, djela komunalnog doprinosa</w:t>
      </w:r>
    </w:p>
    <w:p w:rsidR="00382460" w:rsidRPr="006D25C1" w:rsidRDefault="00382460" w:rsidP="00382460">
      <w:pPr>
        <w:spacing w:line="253" w:lineRule="exact"/>
        <w:rPr>
          <w:sz w:val="24"/>
          <w:szCs w:val="24"/>
        </w:rPr>
      </w:pPr>
    </w:p>
    <w:p w:rsidR="00382460" w:rsidRPr="006D25C1" w:rsidRDefault="00382460" w:rsidP="00382460">
      <w:pPr>
        <w:ind w:left="3980"/>
        <w:rPr>
          <w:sz w:val="24"/>
          <w:szCs w:val="24"/>
        </w:rPr>
      </w:pPr>
      <w:r w:rsidRPr="006D25C1">
        <w:rPr>
          <w:rFonts w:eastAsia="Arial"/>
          <w:b/>
          <w:bCs/>
          <w:sz w:val="24"/>
          <w:szCs w:val="24"/>
        </w:rPr>
        <w:t xml:space="preserve">Članak </w:t>
      </w:r>
      <w:r w:rsidR="00AB47D4">
        <w:rPr>
          <w:rFonts w:eastAsia="Arial"/>
          <w:b/>
          <w:bCs/>
          <w:sz w:val="24"/>
          <w:szCs w:val="24"/>
        </w:rPr>
        <w:t>19</w:t>
      </w:r>
      <w:r w:rsidRPr="006D25C1">
        <w:rPr>
          <w:rFonts w:eastAsia="Arial"/>
          <w:b/>
          <w:bCs/>
          <w:sz w:val="24"/>
          <w:szCs w:val="24"/>
        </w:rPr>
        <w:t>.</w:t>
      </w:r>
    </w:p>
    <w:p w:rsidR="00382460" w:rsidRPr="006D25C1" w:rsidRDefault="00382460" w:rsidP="00382460">
      <w:pPr>
        <w:spacing w:line="257" w:lineRule="exact"/>
        <w:rPr>
          <w:sz w:val="24"/>
          <w:szCs w:val="24"/>
        </w:rPr>
      </w:pPr>
    </w:p>
    <w:p w:rsidR="00382460" w:rsidRPr="006D25C1" w:rsidRDefault="00382460" w:rsidP="00382460">
      <w:pPr>
        <w:spacing w:line="239" w:lineRule="auto"/>
        <w:ind w:right="20" w:firstLine="708"/>
        <w:jc w:val="both"/>
        <w:rPr>
          <w:sz w:val="24"/>
          <w:szCs w:val="24"/>
        </w:rPr>
      </w:pPr>
      <w:r w:rsidRPr="006D25C1">
        <w:rPr>
          <w:rFonts w:eastAsia="Arial"/>
          <w:sz w:val="24"/>
          <w:szCs w:val="24"/>
        </w:rPr>
        <w:t xml:space="preserve">Komunalni doprinos je plaćen za građenje građevine na temelju građevinske dozvole, odnosno drugog akta za građenje koji je prestao važiti jer građenje nije započeto ili koji je poništen na zahtjev ili uz suglasnost investitora, pa će s toga </w:t>
      </w:r>
      <w:r>
        <w:rPr>
          <w:rFonts w:eastAsia="Arial"/>
          <w:sz w:val="24"/>
          <w:szCs w:val="24"/>
        </w:rPr>
        <w:t xml:space="preserve">Jedinstveni upravni odjel </w:t>
      </w:r>
      <w:r w:rsidRPr="006D25C1">
        <w:rPr>
          <w:rFonts w:eastAsia="Arial"/>
          <w:sz w:val="24"/>
          <w:szCs w:val="24"/>
        </w:rPr>
        <w:t xml:space="preserve"> uračunati komunalni doprinos kao plaćeni dio komunalnog doprinosa na istom ili drugom zem</w:t>
      </w:r>
      <w:r>
        <w:rPr>
          <w:rFonts w:eastAsia="Arial"/>
          <w:sz w:val="24"/>
          <w:szCs w:val="24"/>
        </w:rPr>
        <w:t xml:space="preserve">ljištu na području Općine </w:t>
      </w:r>
      <w:r w:rsidR="00AB47D4">
        <w:rPr>
          <w:rFonts w:eastAsia="Arial"/>
          <w:sz w:val="24"/>
          <w:szCs w:val="24"/>
        </w:rPr>
        <w:t>Sveti Martin na Muri</w:t>
      </w:r>
      <w:r w:rsidRPr="006D25C1">
        <w:rPr>
          <w:rFonts w:eastAsia="Arial"/>
          <w:sz w:val="24"/>
          <w:szCs w:val="24"/>
        </w:rPr>
        <w:t>, ako to zatraži obveznik komunalnog doprinosa ili investitor.</w:t>
      </w:r>
    </w:p>
    <w:p w:rsidR="00382460" w:rsidRPr="006D25C1" w:rsidRDefault="00382460" w:rsidP="00382460">
      <w:pPr>
        <w:spacing w:line="5" w:lineRule="exact"/>
        <w:rPr>
          <w:sz w:val="24"/>
          <w:szCs w:val="24"/>
        </w:rPr>
      </w:pPr>
    </w:p>
    <w:p w:rsidR="00382460" w:rsidRPr="006D25C1" w:rsidRDefault="00382460" w:rsidP="00382460">
      <w:pPr>
        <w:spacing w:line="262" w:lineRule="auto"/>
        <w:ind w:firstLine="708"/>
        <w:jc w:val="both"/>
        <w:rPr>
          <w:sz w:val="24"/>
          <w:szCs w:val="24"/>
        </w:rPr>
      </w:pPr>
      <w:r w:rsidRPr="006D25C1">
        <w:rPr>
          <w:rFonts w:eastAsia="Arial"/>
          <w:sz w:val="24"/>
          <w:szCs w:val="24"/>
        </w:rPr>
        <w:t>Obveznik komunalnog doprinosa, odnosno investitor nema pravo na kamatu za uplaćeni iznos, niti na kamatu za iznos koji se uračunava kao plaćeni dio komunalnog doprinosa koji se plaća za građenje na istom ili drugom zemljištu.</w:t>
      </w:r>
    </w:p>
    <w:p w:rsidR="00382460" w:rsidRPr="006D25C1" w:rsidRDefault="00382460" w:rsidP="00382460">
      <w:pPr>
        <w:spacing w:line="181" w:lineRule="exact"/>
        <w:rPr>
          <w:sz w:val="24"/>
          <w:szCs w:val="24"/>
        </w:rPr>
      </w:pPr>
    </w:p>
    <w:p w:rsidR="00382460" w:rsidRPr="006D25C1" w:rsidRDefault="00382460" w:rsidP="00382460">
      <w:pPr>
        <w:rPr>
          <w:sz w:val="24"/>
          <w:szCs w:val="24"/>
        </w:rPr>
      </w:pPr>
      <w:r w:rsidRPr="006D25C1">
        <w:rPr>
          <w:rFonts w:eastAsia="Arial"/>
          <w:b/>
          <w:bCs/>
          <w:sz w:val="24"/>
          <w:szCs w:val="24"/>
        </w:rPr>
        <w:t>VII. PRIJELAZNE I ZAVRŠNE ODREDBE</w:t>
      </w:r>
    </w:p>
    <w:p w:rsidR="00382460" w:rsidRPr="006D25C1" w:rsidRDefault="00382460" w:rsidP="00382460">
      <w:pPr>
        <w:spacing w:line="253" w:lineRule="exact"/>
        <w:rPr>
          <w:sz w:val="24"/>
          <w:szCs w:val="24"/>
        </w:rPr>
      </w:pPr>
    </w:p>
    <w:p w:rsidR="00382460" w:rsidRPr="006D25C1" w:rsidRDefault="00382460" w:rsidP="00382460">
      <w:pPr>
        <w:ind w:left="3980"/>
        <w:rPr>
          <w:sz w:val="24"/>
          <w:szCs w:val="24"/>
        </w:rPr>
      </w:pPr>
      <w:r w:rsidRPr="006D25C1">
        <w:rPr>
          <w:rFonts w:eastAsia="Arial"/>
          <w:b/>
          <w:bCs/>
          <w:sz w:val="24"/>
          <w:szCs w:val="24"/>
        </w:rPr>
        <w:t>Članak 2</w:t>
      </w:r>
      <w:r w:rsidR="00B66799">
        <w:rPr>
          <w:rFonts w:eastAsia="Arial"/>
          <w:b/>
          <w:bCs/>
          <w:sz w:val="24"/>
          <w:szCs w:val="24"/>
        </w:rPr>
        <w:t>0</w:t>
      </w:r>
      <w:r w:rsidRPr="006D25C1">
        <w:rPr>
          <w:rFonts w:eastAsia="Arial"/>
          <w:b/>
          <w:bCs/>
          <w:sz w:val="24"/>
          <w:szCs w:val="24"/>
        </w:rPr>
        <w:t>.</w:t>
      </w:r>
    </w:p>
    <w:p w:rsidR="00382460" w:rsidRPr="006D25C1" w:rsidRDefault="00382460" w:rsidP="00382460">
      <w:pPr>
        <w:spacing w:line="257" w:lineRule="exact"/>
        <w:rPr>
          <w:sz w:val="24"/>
          <w:szCs w:val="24"/>
        </w:rPr>
      </w:pPr>
    </w:p>
    <w:p w:rsidR="00382460" w:rsidRPr="006D25C1" w:rsidRDefault="00382460" w:rsidP="00382460">
      <w:pPr>
        <w:spacing w:line="239" w:lineRule="auto"/>
        <w:ind w:right="20" w:firstLine="708"/>
        <w:jc w:val="both"/>
        <w:rPr>
          <w:sz w:val="24"/>
          <w:szCs w:val="24"/>
        </w:rPr>
      </w:pPr>
      <w:r w:rsidRPr="006D25C1">
        <w:rPr>
          <w:rFonts w:eastAsia="Arial"/>
          <w:sz w:val="24"/>
          <w:szCs w:val="24"/>
        </w:rPr>
        <w:t>Postupci donošenja Rješenja započeti po Odluci o komunalnom doprinosu</w:t>
      </w:r>
      <w:r>
        <w:rPr>
          <w:rFonts w:eastAsia="Arial"/>
          <w:sz w:val="24"/>
          <w:szCs w:val="24"/>
        </w:rPr>
        <w:t xml:space="preserve"> („Službeni glasni</w:t>
      </w:r>
      <w:r w:rsidR="00AB47D4">
        <w:rPr>
          <w:rFonts w:eastAsia="Arial"/>
          <w:sz w:val="24"/>
          <w:szCs w:val="24"/>
        </w:rPr>
        <w:t xml:space="preserve">k Međimurske županije“, broj </w:t>
      </w:r>
      <w:r w:rsidR="00E61536">
        <w:rPr>
          <w:rFonts w:eastAsia="Arial"/>
          <w:sz w:val="24"/>
          <w:szCs w:val="24"/>
        </w:rPr>
        <w:t>15/05, 07/09. i 14/13.</w:t>
      </w:r>
      <w:r w:rsidR="00AB47D4">
        <w:rPr>
          <w:rFonts w:eastAsia="Arial"/>
          <w:sz w:val="24"/>
          <w:szCs w:val="24"/>
        </w:rPr>
        <w:t xml:space="preserve"> </w:t>
      </w:r>
      <w:r>
        <w:rPr>
          <w:rFonts w:eastAsia="Arial"/>
          <w:sz w:val="24"/>
          <w:szCs w:val="24"/>
        </w:rPr>
        <w:t>.)</w:t>
      </w:r>
      <w:r w:rsidRPr="006D25C1">
        <w:rPr>
          <w:rFonts w:eastAsia="Arial"/>
          <w:sz w:val="24"/>
          <w:szCs w:val="24"/>
        </w:rPr>
        <w:t xml:space="preserve"> do dana stupanja na snagu ove Odluke dovršit će se prema odredbama dosadašnje Odluke.</w:t>
      </w:r>
    </w:p>
    <w:p w:rsidR="00382460" w:rsidRPr="006D25C1" w:rsidRDefault="00382460" w:rsidP="00382460">
      <w:pPr>
        <w:spacing w:line="2" w:lineRule="exact"/>
        <w:rPr>
          <w:sz w:val="24"/>
          <w:szCs w:val="24"/>
        </w:rPr>
      </w:pPr>
    </w:p>
    <w:p w:rsidR="00382460" w:rsidRPr="006D25C1" w:rsidRDefault="00382460" w:rsidP="00382460">
      <w:pPr>
        <w:spacing w:line="195" w:lineRule="exact"/>
        <w:rPr>
          <w:sz w:val="24"/>
          <w:szCs w:val="24"/>
        </w:rPr>
      </w:pPr>
    </w:p>
    <w:p w:rsidR="00382460" w:rsidRPr="006D25C1" w:rsidRDefault="00382460" w:rsidP="00382460">
      <w:pPr>
        <w:jc w:val="center"/>
        <w:rPr>
          <w:sz w:val="24"/>
          <w:szCs w:val="24"/>
        </w:rPr>
      </w:pPr>
      <w:r w:rsidRPr="006D25C1">
        <w:rPr>
          <w:rFonts w:eastAsia="Arial"/>
          <w:b/>
          <w:bCs/>
          <w:sz w:val="24"/>
          <w:szCs w:val="24"/>
        </w:rPr>
        <w:t>Članak 2</w:t>
      </w:r>
      <w:r w:rsidR="00B66799">
        <w:rPr>
          <w:rFonts w:eastAsia="Arial"/>
          <w:b/>
          <w:bCs/>
          <w:sz w:val="24"/>
          <w:szCs w:val="24"/>
        </w:rPr>
        <w:t>1</w:t>
      </w:r>
      <w:r w:rsidRPr="006D25C1">
        <w:rPr>
          <w:rFonts w:eastAsia="Arial"/>
          <w:b/>
          <w:bCs/>
          <w:sz w:val="24"/>
          <w:szCs w:val="24"/>
        </w:rPr>
        <w:t>.</w:t>
      </w:r>
    </w:p>
    <w:p w:rsidR="00382460" w:rsidRPr="006D25C1" w:rsidRDefault="00382460" w:rsidP="00382460">
      <w:pPr>
        <w:spacing w:line="257" w:lineRule="exact"/>
        <w:rPr>
          <w:sz w:val="24"/>
          <w:szCs w:val="24"/>
        </w:rPr>
      </w:pPr>
    </w:p>
    <w:p w:rsidR="00382460" w:rsidRDefault="00382460" w:rsidP="00382460">
      <w:pPr>
        <w:spacing w:line="262" w:lineRule="auto"/>
        <w:ind w:right="20" w:firstLine="708"/>
        <w:jc w:val="both"/>
        <w:rPr>
          <w:rFonts w:eastAsia="Arial"/>
          <w:sz w:val="24"/>
          <w:szCs w:val="24"/>
        </w:rPr>
      </w:pPr>
      <w:r w:rsidRPr="006D25C1">
        <w:rPr>
          <w:rFonts w:eastAsia="Arial"/>
          <w:sz w:val="24"/>
          <w:szCs w:val="24"/>
        </w:rPr>
        <w:t xml:space="preserve">Stupanjem na snagu ove Odluke prestaje važiti Odluka o komunalnom </w:t>
      </w:r>
      <w:r>
        <w:rPr>
          <w:rFonts w:eastAsia="Arial"/>
          <w:sz w:val="24"/>
          <w:szCs w:val="24"/>
        </w:rPr>
        <w:t>doprinosu („Službe</w:t>
      </w:r>
      <w:r w:rsidR="00E61536">
        <w:rPr>
          <w:rFonts w:eastAsia="Arial"/>
          <w:sz w:val="24"/>
          <w:szCs w:val="24"/>
        </w:rPr>
        <w:t>ni glasnik Međimurske županije“, broj 15/05., 07/09. i 14/13.)</w:t>
      </w:r>
    </w:p>
    <w:p w:rsidR="00B66799" w:rsidRPr="006D25C1" w:rsidRDefault="00B66799" w:rsidP="00382460">
      <w:pPr>
        <w:spacing w:line="262" w:lineRule="auto"/>
        <w:ind w:right="20" w:firstLine="708"/>
        <w:jc w:val="both"/>
        <w:rPr>
          <w:sz w:val="24"/>
          <w:szCs w:val="24"/>
        </w:rPr>
      </w:pPr>
    </w:p>
    <w:p w:rsidR="00382460" w:rsidRDefault="00382460" w:rsidP="00382460">
      <w:pPr>
        <w:ind w:right="20"/>
        <w:jc w:val="center"/>
        <w:rPr>
          <w:rFonts w:eastAsia="Arial"/>
          <w:b/>
          <w:bCs/>
          <w:sz w:val="24"/>
          <w:szCs w:val="24"/>
        </w:rPr>
      </w:pPr>
      <w:bookmarkStart w:id="2" w:name="page8"/>
      <w:bookmarkEnd w:id="2"/>
      <w:r w:rsidRPr="006D25C1">
        <w:rPr>
          <w:rFonts w:eastAsia="Arial"/>
          <w:b/>
          <w:bCs/>
          <w:sz w:val="24"/>
          <w:szCs w:val="24"/>
        </w:rPr>
        <w:t>Članak 2</w:t>
      </w:r>
      <w:r w:rsidR="00B66799">
        <w:rPr>
          <w:rFonts w:eastAsia="Arial"/>
          <w:b/>
          <w:bCs/>
          <w:sz w:val="24"/>
          <w:szCs w:val="24"/>
        </w:rPr>
        <w:t>2</w:t>
      </w:r>
      <w:r w:rsidRPr="006D25C1">
        <w:rPr>
          <w:rFonts w:eastAsia="Arial"/>
          <w:b/>
          <w:bCs/>
          <w:sz w:val="24"/>
          <w:szCs w:val="24"/>
        </w:rPr>
        <w:t>.</w:t>
      </w:r>
    </w:p>
    <w:p w:rsidR="00382460" w:rsidRPr="006D25C1" w:rsidRDefault="00382460" w:rsidP="00382460">
      <w:pPr>
        <w:ind w:right="20"/>
        <w:jc w:val="center"/>
        <w:rPr>
          <w:sz w:val="24"/>
          <w:szCs w:val="24"/>
        </w:rPr>
      </w:pPr>
    </w:p>
    <w:p w:rsidR="00382460" w:rsidRDefault="00382460" w:rsidP="00382460">
      <w:pPr>
        <w:spacing w:line="254" w:lineRule="exact"/>
        <w:rPr>
          <w:sz w:val="24"/>
          <w:szCs w:val="24"/>
        </w:rPr>
      </w:pPr>
      <w:r>
        <w:rPr>
          <w:sz w:val="24"/>
          <w:szCs w:val="24"/>
        </w:rPr>
        <w:t xml:space="preserve">Ova Odluka objavit će se </w:t>
      </w:r>
      <w:r w:rsidRPr="004118FE">
        <w:rPr>
          <w:sz w:val="24"/>
          <w:szCs w:val="24"/>
        </w:rPr>
        <w:t>u „Služben</w:t>
      </w:r>
      <w:r>
        <w:rPr>
          <w:sz w:val="24"/>
          <w:szCs w:val="24"/>
        </w:rPr>
        <w:t>om glasniku Međimurske županije</w:t>
      </w:r>
      <w:r w:rsidRPr="004118FE">
        <w:rPr>
          <w:sz w:val="24"/>
          <w:szCs w:val="24"/>
        </w:rPr>
        <w:t>“</w:t>
      </w:r>
      <w:r>
        <w:rPr>
          <w:sz w:val="24"/>
          <w:szCs w:val="24"/>
        </w:rPr>
        <w:t xml:space="preserve"> i stupa na snagu osmog dana nakon objave.</w:t>
      </w:r>
    </w:p>
    <w:p w:rsidR="00382460" w:rsidRDefault="00382460" w:rsidP="00382460">
      <w:pPr>
        <w:spacing w:line="254" w:lineRule="exact"/>
        <w:rPr>
          <w:sz w:val="24"/>
          <w:szCs w:val="24"/>
        </w:rPr>
      </w:pPr>
    </w:p>
    <w:p w:rsidR="00382460" w:rsidRDefault="00382460" w:rsidP="00382460">
      <w:pPr>
        <w:spacing w:line="254" w:lineRule="exact"/>
        <w:rPr>
          <w:sz w:val="24"/>
          <w:szCs w:val="24"/>
        </w:rPr>
      </w:pPr>
    </w:p>
    <w:p w:rsidR="00382460" w:rsidRPr="006D25C1" w:rsidRDefault="00382460" w:rsidP="00382460">
      <w:pPr>
        <w:spacing w:line="254" w:lineRule="exact"/>
        <w:rPr>
          <w:sz w:val="24"/>
          <w:szCs w:val="24"/>
        </w:rPr>
      </w:pPr>
      <w:r>
        <w:rPr>
          <w:sz w:val="24"/>
          <w:szCs w:val="24"/>
        </w:rPr>
        <w:tab/>
      </w:r>
      <w:r>
        <w:rPr>
          <w:sz w:val="24"/>
          <w:szCs w:val="24"/>
        </w:rPr>
        <w:tab/>
      </w:r>
      <w:r>
        <w:rPr>
          <w:sz w:val="24"/>
          <w:szCs w:val="24"/>
        </w:rPr>
        <w:tab/>
        <w:t xml:space="preserve">OPĆINSKO VIJEĆE OPĆINE </w:t>
      </w:r>
      <w:r w:rsidR="00B30691">
        <w:rPr>
          <w:sz w:val="24"/>
          <w:szCs w:val="24"/>
        </w:rPr>
        <w:t>SVETI MARTIN NA MURI</w:t>
      </w:r>
      <w:r>
        <w:rPr>
          <w:sz w:val="24"/>
          <w:szCs w:val="24"/>
        </w:rPr>
        <w:tab/>
      </w:r>
    </w:p>
    <w:p w:rsidR="00382460" w:rsidRPr="006D25C1" w:rsidRDefault="00382460" w:rsidP="00382460">
      <w:pPr>
        <w:spacing w:line="159" w:lineRule="exact"/>
        <w:rPr>
          <w:sz w:val="24"/>
          <w:szCs w:val="24"/>
        </w:rPr>
      </w:pPr>
    </w:p>
    <w:p w:rsidR="00382460" w:rsidRPr="00B30691" w:rsidRDefault="00382460" w:rsidP="00382460">
      <w:r w:rsidRPr="00B30691">
        <w:rPr>
          <w:rFonts w:eastAsia="Arial"/>
        </w:rPr>
        <w:t xml:space="preserve">KLASA: </w:t>
      </w:r>
      <w:r w:rsidR="00E704CC">
        <w:rPr>
          <w:rFonts w:eastAsia="Arial"/>
        </w:rPr>
        <w:t>361-03/19-01/07</w:t>
      </w:r>
    </w:p>
    <w:p w:rsidR="00382460" w:rsidRPr="00B30691" w:rsidRDefault="00382460" w:rsidP="00382460">
      <w:r w:rsidRPr="00B30691">
        <w:rPr>
          <w:rFonts w:eastAsia="Arial"/>
        </w:rPr>
        <w:t xml:space="preserve">URBROJ: </w:t>
      </w:r>
      <w:r w:rsidR="00E704CC">
        <w:rPr>
          <w:rFonts w:eastAsia="Arial"/>
        </w:rPr>
        <w:t>2109-17/19-01/01</w:t>
      </w:r>
    </w:p>
    <w:p w:rsidR="00382460" w:rsidRPr="006D25C1" w:rsidRDefault="00382460" w:rsidP="00382460">
      <w:pPr>
        <w:spacing w:line="1" w:lineRule="exact"/>
        <w:rPr>
          <w:sz w:val="24"/>
          <w:szCs w:val="24"/>
        </w:rPr>
      </w:pPr>
    </w:p>
    <w:p w:rsidR="00382460" w:rsidRDefault="00B30691" w:rsidP="00382460">
      <w:pPr>
        <w:spacing w:line="247" w:lineRule="exact"/>
        <w:rPr>
          <w:rFonts w:eastAsia="Arial"/>
          <w:sz w:val="24"/>
          <w:szCs w:val="24"/>
        </w:rPr>
      </w:pPr>
      <w:r w:rsidRPr="00B30691">
        <w:rPr>
          <w:rFonts w:eastAsia="Arial"/>
        </w:rPr>
        <w:t xml:space="preserve">SVETI MARTIN NA MURI, </w:t>
      </w:r>
      <w:r w:rsidR="00E704CC">
        <w:rPr>
          <w:rFonts w:eastAsia="Arial"/>
        </w:rPr>
        <w:t xml:space="preserve">30. 01. </w:t>
      </w:r>
      <w:r w:rsidRPr="00B30691">
        <w:rPr>
          <w:rFonts w:eastAsia="Arial"/>
        </w:rPr>
        <w:t>2019.</w:t>
      </w:r>
      <w:r w:rsidR="00382460">
        <w:rPr>
          <w:rFonts w:eastAsia="Arial"/>
          <w:sz w:val="24"/>
          <w:szCs w:val="24"/>
        </w:rPr>
        <w:tab/>
      </w:r>
      <w:r>
        <w:rPr>
          <w:rFonts w:eastAsia="Arial"/>
          <w:sz w:val="24"/>
          <w:szCs w:val="24"/>
        </w:rPr>
        <w:t xml:space="preserve">             </w:t>
      </w:r>
      <w:r w:rsidR="00382460">
        <w:rPr>
          <w:rFonts w:eastAsia="Arial"/>
          <w:sz w:val="24"/>
          <w:szCs w:val="24"/>
        </w:rPr>
        <w:tab/>
      </w:r>
      <w:r>
        <w:rPr>
          <w:rFonts w:eastAsia="Arial"/>
          <w:sz w:val="24"/>
          <w:szCs w:val="24"/>
        </w:rPr>
        <w:t>PREDSJEDNICA</w:t>
      </w:r>
    </w:p>
    <w:p w:rsidR="00382460" w:rsidRDefault="00382460" w:rsidP="00382460">
      <w:pPr>
        <w:spacing w:line="247" w:lineRule="exact"/>
        <w:rPr>
          <w:rFonts w:eastAsia="Arial"/>
          <w:sz w:val="24"/>
          <w:szCs w:val="24"/>
        </w:rPr>
      </w:pP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sidR="00B30691">
        <w:rPr>
          <w:rFonts w:eastAsia="Arial"/>
          <w:sz w:val="24"/>
          <w:szCs w:val="24"/>
        </w:rPr>
        <w:t xml:space="preserve">      </w:t>
      </w:r>
      <w:r>
        <w:rPr>
          <w:rFonts w:eastAsia="Arial"/>
          <w:sz w:val="24"/>
          <w:szCs w:val="24"/>
        </w:rPr>
        <w:t>OPĆINSKOG VIJEĆA</w:t>
      </w:r>
    </w:p>
    <w:p w:rsidR="00B903C1" w:rsidRPr="00B903C1" w:rsidRDefault="00382460" w:rsidP="00E704CC">
      <w:pPr>
        <w:spacing w:line="247" w:lineRule="exact"/>
        <w:rPr>
          <w:sz w:val="24"/>
          <w:szCs w:val="24"/>
        </w:rPr>
      </w:pPr>
      <w:r>
        <w:rPr>
          <w:rFonts w:eastAsia="Arial"/>
          <w:sz w:val="24"/>
          <w:szCs w:val="24"/>
        </w:rPr>
        <w:tab/>
      </w:r>
      <w:r>
        <w:rPr>
          <w:rFonts w:eastAsia="Arial"/>
          <w:sz w:val="24"/>
          <w:szCs w:val="24"/>
        </w:rPr>
        <w:tab/>
      </w:r>
      <w:r>
        <w:rPr>
          <w:rFonts w:eastAsia="Arial"/>
          <w:sz w:val="24"/>
          <w:szCs w:val="24"/>
        </w:rPr>
        <w:tab/>
      </w:r>
      <w:r w:rsidR="00B30691">
        <w:rPr>
          <w:rFonts w:eastAsia="Arial"/>
          <w:sz w:val="24"/>
          <w:szCs w:val="24"/>
        </w:rPr>
        <w:tab/>
      </w:r>
      <w:r w:rsidR="00B30691">
        <w:rPr>
          <w:rFonts w:eastAsia="Arial"/>
          <w:sz w:val="24"/>
          <w:szCs w:val="24"/>
        </w:rPr>
        <w:tab/>
      </w:r>
      <w:r w:rsidR="00B30691">
        <w:rPr>
          <w:rFonts w:eastAsia="Arial"/>
          <w:sz w:val="24"/>
          <w:szCs w:val="24"/>
        </w:rPr>
        <w:tab/>
        <w:t xml:space="preserve">                   Petra NOVINŠČAK, v.r.</w:t>
      </w:r>
      <w:bookmarkStart w:id="3" w:name="_GoBack"/>
      <w:bookmarkEnd w:id="3"/>
    </w:p>
    <w:sectPr w:rsidR="00B903C1" w:rsidRPr="00B903C1" w:rsidSect="00B30691">
      <w:pgSz w:w="11900" w:h="16838"/>
      <w:pgMar w:top="828" w:right="1406" w:bottom="394" w:left="14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31B"/>
    <w:multiLevelType w:val="hybridMultilevel"/>
    <w:tmpl w:val="BC58274A"/>
    <w:lvl w:ilvl="0" w:tplc="AB346342">
      <w:start w:val="61"/>
      <w:numFmt w:val="upperLetter"/>
      <w:lvlText w:val="%1."/>
      <w:lvlJc w:val="left"/>
    </w:lvl>
    <w:lvl w:ilvl="1" w:tplc="7896B8F4">
      <w:numFmt w:val="decimal"/>
      <w:lvlText w:val=""/>
      <w:lvlJc w:val="left"/>
    </w:lvl>
    <w:lvl w:ilvl="2" w:tplc="EB52486A">
      <w:numFmt w:val="decimal"/>
      <w:lvlText w:val=""/>
      <w:lvlJc w:val="left"/>
    </w:lvl>
    <w:lvl w:ilvl="3" w:tplc="5FE89B52">
      <w:numFmt w:val="decimal"/>
      <w:lvlText w:val=""/>
      <w:lvlJc w:val="left"/>
    </w:lvl>
    <w:lvl w:ilvl="4" w:tplc="49CC706A">
      <w:numFmt w:val="decimal"/>
      <w:lvlText w:val=""/>
      <w:lvlJc w:val="left"/>
    </w:lvl>
    <w:lvl w:ilvl="5" w:tplc="25A218F0">
      <w:numFmt w:val="decimal"/>
      <w:lvlText w:val=""/>
      <w:lvlJc w:val="left"/>
    </w:lvl>
    <w:lvl w:ilvl="6" w:tplc="1C7E95F0">
      <w:numFmt w:val="decimal"/>
      <w:lvlText w:val=""/>
      <w:lvlJc w:val="left"/>
    </w:lvl>
    <w:lvl w:ilvl="7" w:tplc="A546D868">
      <w:numFmt w:val="decimal"/>
      <w:lvlText w:val=""/>
      <w:lvlJc w:val="left"/>
    </w:lvl>
    <w:lvl w:ilvl="8" w:tplc="A1027582">
      <w:numFmt w:val="decimal"/>
      <w:lvlText w:val=""/>
      <w:lvlJc w:val="left"/>
    </w:lvl>
  </w:abstractNum>
  <w:abstractNum w:abstractNumId="1" w15:restartNumberingAfterBreak="0">
    <w:nsid w:val="0DED7263"/>
    <w:multiLevelType w:val="hybridMultilevel"/>
    <w:tmpl w:val="81BA211E"/>
    <w:lvl w:ilvl="0" w:tplc="FE5A908A">
      <w:start w:val="1"/>
      <w:numFmt w:val="decimal"/>
      <w:lvlText w:val="%1."/>
      <w:lvlJc w:val="left"/>
    </w:lvl>
    <w:lvl w:ilvl="1" w:tplc="97BC9CB6">
      <w:numFmt w:val="decimal"/>
      <w:lvlText w:val=""/>
      <w:lvlJc w:val="left"/>
    </w:lvl>
    <w:lvl w:ilvl="2" w:tplc="83B07C9E">
      <w:numFmt w:val="decimal"/>
      <w:lvlText w:val=""/>
      <w:lvlJc w:val="left"/>
    </w:lvl>
    <w:lvl w:ilvl="3" w:tplc="1F06A6A8">
      <w:numFmt w:val="decimal"/>
      <w:lvlText w:val=""/>
      <w:lvlJc w:val="left"/>
    </w:lvl>
    <w:lvl w:ilvl="4" w:tplc="13260F54">
      <w:numFmt w:val="decimal"/>
      <w:lvlText w:val=""/>
      <w:lvlJc w:val="left"/>
    </w:lvl>
    <w:lvl w:ilvl="5" w:tplc="457ACCAE">
      <w:numFmt w:val="decimal"/>
      <w:lvlText w:val=""/>
      <w:lvlJc w:val="left"/>
    </w:lvl>
    <w:lvl w:ilvl="6" w:tplc="EAA8E83A">
      <w:numFmt w:val="decimal"/>
      <w:lvlText w:val=""/>
      <w:lvlJc w:val="left"/>
    </w:lvl>
    <w:lvl w:ilvl="7" w:tplc="8588293C">
      <w:numFmt w:val="decimal"/>
      <w:lvlText w:val=""/>
      <w:lvlJc w:val="left"/>
    </w:lvl>
    <w:lvl w:ilvl="8" w:tplc="3FA05600">
      <w:numFmt w:val="decimal"/>
      <w:lvlText w:val=""/>
      <w:lvlJc w:val="left"/>
    </w:lvl>
  </w:abstractNum>
  <w:abstractNum w:abstractNumId="2" w15:restartNumberingAfterBreak="0">
    <w:nsid w:val="109CF92E"/>
    <w:multiLevelType w:val="hybridMultilevel"/>
    <w:tmpl w:val="DDD4B0F0"/>
    <w:lvl w:ilvl="0" w:tplc="880EE31C">
      <w:start w:val="1"/>
      <w:numFmt w:val="bullet"/>
      <w:lvlText w:val="-"/>
      <w:lvlJc w:val="left"/>
    </w:lvl>
    <w:lvl w:ilvl="1" w:tplc="4C6C26AE">
      <w:numFmt w:val="decimal"/>
      <w:lvlText w:val=""/>
      <w:lvlJc w:val="left"/>
    </w:lvl>
    <w:lvl w:ilvl="2" w:tplc="5BC655EC">
      <w:numFmt w:val="decimal"/>
      <w:lvlText w:val=""/>
      <w:lvlJc w:val="left"/>
    </w:lvl>
    <w:lvl w:ilvl="3" w:tplc="A0A8EC80">
      <w:numFmt w:val="decimal"/>
      <w:lvlText w:val=""/>
      <w:lvlJc w:val="left"/>
    </w:lvl>
    <w:lvl w:ilvl="4" w:tplc="6E10FB1E">
      <w:numFmt w:val="decimal"/>
      <w:lvlText w:val=""/>
      <w:lvlJc w:val="left"/>
    </w:lvl>
    <w:lvl w:ilvl="5" w:tplc="60E82AF0">
      <w:numFmt w:val="decimal"/>
      <w:lvlText w:val=""/>
      <w:lvlJc w:val="left"/>
    </w:lvl>
    <w:lvl w:ilvl="6" w:tplc="A5FEB588">
      <w:numFmt w:val="decimal"/>
      <w:lvlText w:val=""/>
      <w:lvlJc w:val="left"/>
    </w:lvl>
    <w:lvl w:ilvl="7" w:tplc="A3BCFCFC">
      <w:numFmt w:val="decimal"/>
      <w:lvlText w:val=""/>
      <w:lvlJc w:val="left"/>
    </w:lvl>
    <w:lvl w:ilvl="8" w:tplc="DD00C308">
      <w:numFmt w:val="decimal"/>
      <w:lvlText w:val=""/>
      <w:lvlJc w:val="left"/>
    </w:lvl>
  </w:abstractNum>
  <w:abstractNum w:abstractNumId="3" w15:restartNumberingAfterBreak="0">
    <w:nsid w:val="1190CDE7"/>
    <w:multiLevelType w:val="hybridMultilevel"/>
    <w:tmpl w:val="DEB45F7E"/>
    <w:lvl w:ilvl="0" w:tplc="B9B4B616">
      <w:start w:val="1"/>
      <w:numFmt w:val="bullet"/>
      <w:lvlText w:val="−"/>
      <w:lvlJc w:val="left"/>
    </w:lvl>
    <w:lvl w:ilvl="1" w:tplc="ECCA94E0">
      <w:numFmt w:val="decimal"/>
      <w:lvlText w:val=""/>
      <w:lvlJc w:val="left"/>
    </w:lvl>
    <w:lvl w:ilvl="2" w:tplc="E4EA88A4">
      <w:numFmt w:val="decimal"/>
      <w:lvlText w:val=""/>
      <w:lvlJc w:val="left"/>
    </w:lvl>
    <w:lvl w:ilvl="3" w:tplc="A142D274">
      <w:numFmt w:val="decimal"/>
      <w:lvlText w:val=""/>
      <w:lvlJc w:val="left"/>
    </w:lvl>
    <w:lvl w:ilvl="4" w:tplc="5DE807C8">
      <w:numFmt w:val="decimal"/>
      <w:lvlText w:val=""/>
      <w:lvlJc w:val="left"/>
    </w:lvl>
    <w:lvl w:ilvl="5" w:tplc="BD281CB8">
      <w:numFmt w:val="decimal"/>
      <w:lvlText w:val=""/>
      <w:lvlJc w:val="left"/>
    </w:lvl>
    <w:lvl w:ilvl="6" w:tplc="38E4F614">
      <w:numFmt w:val="decimal"/>
      <w:lvlText w:val=""/>
      <w:lvlJc w:val="left"/>
    </w:lvl>
    <w:lvl w:ilvl="7" w:tplc="06E603D2">
      <w:numFmt w:val="decimal"/>
      <w:lvlText w:val=""/>
      <w:lvlJc w:val="left"/>
    </w:lvl>
    <w:lvl w:ilvl="8" w:tplc="FA6230D2">
      <w:numFmt w:val="decimal"/>
      <w:lvlText w:val=""/>
      <w:lvlJc w:val="left"/>
    </w:lvl>
  </w:abstractNum>
  <w:abstractNum w:abstractNumId="4" w15:restartNumberingAfterBreak="0">
    <w:nsid w:val="12200854"/>
    <w:multiLevelType w:val="hybridMultilevel"/>
    <w:tmpl w:val="88AEE818"/>
    <w:lvl w:ilvl="0" w:tplc="A8A090BA">
      <w:start w:val="1"/>
      <w:numFmt w:val="bullet"/>
      <w:lvlText w:val="−"/>
      <w:lvlJc w:val="left"/>
    </w:lvl>
    <w:lvl w:ilvl="1" w:tplc="D882728E">
      <w:numFmt w:val="decimal"/>
      <w:lvlText w:val=""/>
      <w:lvlJc w:val="left"/>
    </w:lvl>
    <w:lvl w:ilvl="2" w:tplc="42A05570">
      <w:numFmt w:val="decimal"/>
      <w:lvlText w:val=""/>
      <w:lvlJc w:val="left"/>
    </w:lvl>
    <w:lvl w:ilvl="3" w:tplc="43EC24C6">
      <w:numFmt w:val="decimal"/>
      <w:lvlText w:val=""/>
      <w:lvlJc w:val="left"/>
    </w:lvl>
    <w:lvl w:ilvl="4" w:tplc="077C986C">
      <w:numFmt w:val="decimal"/>
      <w:lvlText w:val=""/>
      <w:lvlJc w:val="left"/>
    </w:lvl>
    <w:lvl w:ilvl="5" w:tplc="E9ECB728">
      <w:numFmt w:val="decimal"/>
      <w:lvlText w:val=""/>
      <w:lvlJc w:val="left"/>
    </w:lvl>
    <w:lvl w:ilvl="6" w:tplc="165C3B9A">
      <w:numFmt w:val="decimal"/>
      <w:lvlText w:val=""/>
      <w:lvlJc w:val="left"/>
    </w:lvl>
    <w:lvl w:ilvl="7" w:tplc="0DBC476E">
      <w:numFmt w:val="decimal"/>
      <w:lvlText w:val=""/>
      <w:lvlJc w:val="left"/>
    </w:lvl>
    <w:lvl w:ilvl="8" w:tplc="A9CA4212">
      <w:numFmt w:val="decimal"/>
      <w:lvlText w:val=""/>
      <w:lvlJc w:val="left"/>
    </w:lvl>
  </w:abstractNum>
  <w:abstractNum w:abstractNumId="5" w15:restartNumberingAfterBreak="0">
    <w:nsid w:val="140E0F76"/>
    <w:multiLevelType w:val="hybridMultilevel"/>
    <w:tmpl w:val="9E5E2D9A"/>
    <w:lvl w:ilvl="0" w:tplc="E96430D4">
      <w:start w:val="1"/>
      <w:numFmt w:val="lowerLetter"/>
      <w:lvlText w:val="%1)"/>
      <w:lvlJc w:val="left"/>
    </w:lvl>
    <w:lvl w:ilvl="1" w:tplc="A3E069A8">
      <w:start w:val="1"/>
      <w:numFmt w:val="bullet"/>
      <w:lvlText w:val="-"/>
      <w:lvlJc w:val="left"/>
    </w:lvl>
    <w:lvl w:ilvl="2" w:tplc="EF5E913A">
      <w:numFmt w:val="decimal"/>
      <w:lvlText w:val=""/>
      <w:lvlJc w:val="left"/>
    </w:lvl>
    <w:lvl w:ilvl="3" w:tplc="E0A23AB4">
      <w:numFmt w:val="decimal"/>
      <w:lvlText w:val=""/>
      <w:lvlJc w:val="left"/>
    </w:lvl>
    <w:lvl w:ilvl="4" w:tplc="9C9A5590">
      <w:numFmt w:val="decimal"/>
      <w:lvlText w:val=""/>
      <w:lvlJc w:val="left"/>
    </w:lvl>
    <w:lvl w:ilvl="5" w:tplc="CA9E9386">
      <w:numFmt w:val="decimal"/>
      <w:lvlText w:val=""/>
      <w:lvlJc w:val="left"/>
    </w:lvl>
    <w:lvl w:ilvl="6" w:tplc="23803B66">
      <w:numFmt w:val="decimal"/>
      <w:lvlText w:val=""/>
      <w:lvlJc w:val="left"/>
    </w:lvl>
    <w:lvl w:ilvl="7" w:tplc="05EA5D56">
      <w:numFmt w:val="decimal"/>
      <w:lvlText w:val=""/>
      <w:lvlJc w:val="left"/>
    </w:lvl>
    <w:lvl w:ilvl="8" w:tplc="332EF81A">
      <w:numFmt w:val="decimal"/>
      <w:lvlText w:val=""/>
      <w:lvlJc w:val="left"/>
    </w:lvl>
  </w:abstractNum>
  <w:abstractNum w:abstractNumId="6" w15:restartNumberingAfterBreak="0">
    <w:nsid w:val="19495CFF"/>
    <w:multiLevelType w:val="hybridMultilevel"/>
    <w:tmpl w:val="836E96A2"/>
    <w:lvl w:ilvl="0" w:tplc="489A953A">
      <w:start w:val="22"/>
      <w:numFmt w:val="upperLetter"/>
      <w:lvlText w:val="%1"/>
      <w:lvlJc w:val="left"/>
    </w:lvl>
    <w:lvl w:ilvl="1" w:tplc="43EE79A8">
      <w:numFmt w:val="decimal"/>
      <w:lvlText w:val=""/>
      <w:lvlJc w:val="left"/>
    </w:lvl>
    <w:lvl w:ilvl="2" w:tplc="C0AE49CC">
      <w:numFmt w:val="decimal"/>
      <w:lvlText w:val=""/>
      <w:lvlJc w:val="left"/>
    </w:lvl>
    <w:lvl w:ilvl="3" w:tplc="9B4C218C">
      <w:numFmt w:val="decimal"/>
      <w:lvlText w:val=""/>
      <w:lvlJc w:val="left"/>
    </w:lvl>
    <w:lvl w:ilvl="4" w:tplc="71F05E2C">
      <w:numFmt w:val="decimal"/>
      <w:lvlText w:val=""/>
      <w:lvlJc w:val="left"/>
    </w:lvl>
    <w:lvl w:ilvl="5" w:tplc="1DEC63D0">
      <w:numFmt w:val="decimal"/>
      <w:lvlText w:val=""/>
      <w:lvlJc w:val="left"/>
    </w:lvl>
    <w:lvl w:ilvl="6" w:tplc="8D4E8030">
      <w:numFmt w:val="decimal"/>
      <w:lvlText w:val=""/>
      <w:lvlJc w:val="left"/>
    </w:lvl>
    <w:lvl w:ilvl="7" w:tplc="254AF756">
      <w:numFmt w:val="decimal"/>
      <w:lvlText w:val=""/>
      <w:lvlJc w:val="left"/>
    </w:lvl>
    <w:lvl w:ilvl="8" w:tplc="687499BA">
      <w:numFmt w:val="decimal"/>
      <w:lvlText w:val=""/>
      <w:lvlJc w:val="left"/>
    </w:lvl>
  </w:abstractNum>
  <w:abstractNum w:abstractNumId="7" w15:restartNumberingAfterBreak="0">
    <w:nsid w:val="1BEFD79F"/>
    <w:multiLevelType w:val="hybridMultilevel"/>
    <w:tmpl w:val="47AC05B8"/>
    <w:lvl w:ilvl="0" w:tplc="BAA86164">
      <w:start w:val="1"/>
      <w:numFmt w:val="decimal"/>
      <w:lvlText w:val="%1."/>
      <w:lvlJc w:val="left"/>
    </w:lvl>
    <w:lvl w:ilvl="1" w:tplc="B72A5082">
      <w:numFmt w:val="decimal"/>
      <w:lvlText w:val=""/>
      <w:lvlJc w:val="left"/>
    </w:lvl>
    <w:lvl w:ilvl="2" w:tplc="E822E690">
      <w:numFmt w:val="decimal"/>
      <w:lvlText w:val=""/>
      <w:lvlJc w:val="left"/>
    </w:lvl>
    <w:lvl w:ilvl="3" w:tplc="C51C7118">
      <w:numFmt w:val="decimal"/>
      <w:lvlText w:val=""/>
      <w:lvlJc w:val="left"/>
    </w:lvl>
    <w:lvl w:ilvl="4" w:tplc="46D48526">
      <w:numFmt w:val="decimal"/>
      <w:lvlText w:val=""/>
      <w:lvlJc w:val="left"/>
    </w:lvl>
    <w:lvl w:ilvl="5" w:tplc="A442ED7E">
      <w:numFmt w:val="decimal"/>
      <w:lvlText w:val=""/>
      <w:lvlJc w:val="left"/>
    </w:lvl>
    <w:lvl w:ilvl="6" w:tplc="9D0200EC">
      <w:numFmt w:val="decimal"/>
      <w:lvlText w:val=""/>
      <w:lvlJc w:val="left"/>
    </w:lvl>
    <w:lvl w:ilvl="7" w:tplc="AEE2868A">
      <w:numFmt w:val="decimal"/>
      <w:lvlText w:val=""/>
      <w:lvlJc w:val="left"/>
    </w:lvl>
    <w:lvl w:ilvl="8" w:tplc="04220DE8">
      <w:numFmt w:val="decimal"/>
      <w:lvlText w:val=""/>
      <w:lvlJc w:val="left"/>
    </w:lvl>
  </w:abstractNum>
  <w:abstractNum w:abstractNumId="8" w15:restartNumberingAfterBreak="0">
    <w:nsid w:val="1F16E9E8"/>
    <w:multiLevelType w:val="hybridMultilevel"/>
    <w:tmpl w:val="73AAAE86"/>
    <w:lvl w:ilvl="0" w:tplc="B94C4B5C">
      <w:start w:val="1"/>
      <w:numFmt w:val="bullet"/>
      <w:lvlText w:val="−"/>
      <w:lvlJc w:val="left"/>
    </w:lvl>
    <w:lvl w:ilvl="1" w:tplc="6B4CCD1E">
      <w:numFmt w:val="decimal"/>
      <w:lvlText w:val=""/>
      <w:lvlJc w:val="left"/>
    </w:lvl>
    <w:lvl w:ilvl="2" w:tplc="9A28755E">
      <w:numFmt w:val="decimal"/>
      <w:lvlText w:val=""/>
      <w:lvlJc w:val="left"/>
    </w:lvl>
    <w:lvl w:ilvl="3" w:tplc="300490E4">
      <w:numFmt w:val="decimal"/>
      <w:lvlText w:val=""/>
      <w:lvlJc w:val="left"/>
    </w:lvl>
    <w:lvl w:ilvl="4" w:tplc="E0E66972">
      <w:numFmt w:val="decimal"/>
      <w:lvlText w:val=""/>
      <w:lvlJc w:val="left"/>
    </w:lvl>
    <w:lvl w:ilvl="5" w:tplc="9B9C198A">
      <w:numFmt w:val="decimal"/>
      <w:lvlText w:val=""/>
      <w:lvlJc w:val="left"/>
    </w:lvl>
    <w:lvl w:ilvl="6" w:tplc="01883630">
      <w:numFmt w:val="decimal"/>
      <w:lvlText w:val=""/>
      <w:lvlJc w:val="left"/>
    </w:lvl>
    <w:lvl w:ilvl="7" w:tplc="5C187BE2">
      <w:numFmt w:val="decimal"/>
      <w:lvlText w:val=""/>
      <w:lvlJc w:val="left"/>
    </w:lvl>
    <w:lvl w:ilvl="8" w:tplc="F47490E4">
      <w:numFmt w:val="decimal"/>
      <w:lvlText w:val=""/>
      <w:lvlJc w:val="left"/>
    </w:lvl>
  </w:abstractNum>
  <w:abstractNum w:abstractNumId="9" w15:restartNumberingAfterBreak="0">
    <w:nsid w:val="25E45D32"/>
    <w:multiLevelType w:val="hybridMultilevel"/>
    <w:tmpl w:val="BD2CD45C"/>
    <w:lvl w:ilvl="0" w:tplc="51CEC0BE">
      <w:start w:val="1"/>
      <w:numFmt w:val="bullet"/>
      <w:lvlText w:val="-"/>
      <w:lvlJc w:val="left"/>
    </w:lvl>
    <w:lvl w:ilvl="1" w:tplc="E06C1E8A">
      <w:numFmt w:val="decimal"/>
      <w:lvlText w:val=""/>
      <w:lvlJc w:val="left"/>
    </w:lvl>
    <w:lvl w:ilvl="2" w:tplc="01A2DFE8">
      <w:numFmt w:val="decimal"/>
      <w:lvlText w:val=""/>
      <w:lvlJc w:val="left"/>
    </w:lvl>
    <w:lvl w:ilvl="3" w:tplc="6C52E4D6">
      <w:numFmt w:val="decimal"/>
      <w:lvlText w:val=""/>
      <w:lvlJc w:val="left"/>
    </w:lvl>
    <w:lvl w:ilvl="4" w:tplc="83AE46C4">
      <w:numFmt w:val="decimal"/>
      <w:lvlText w:val=""/>
      <w:lvlJc w:val="left"/>
    </w:lvl>
    <w:lvl w:ilvl="5" w:tplc="3B4C60FC">
      <w:numFmt w:val="decimal"/>
      <w:lvlText w:val=""/>
      <w:lvlJc w:val="left"/>
    </w:lvl>
    <w:lvl w:ilvl="6" w:tplc="035A0F1E">
      <w:numFmt w:val="decimal"/>
      <w:lvlText w:val=""/>
      <w:lvlJc w:val="left"/>
    </w:lvl>
    <w:lvl w:ilvl="7" w:tplc="5360038A">
      <w:numFmt w:val="decimal"/>
      <w:lvlText w:val=""/>
      <w:lvlJc w:val="left"/>
    </w:lvl>
    <w:lvl w:ilvl="8" w:tplc="0184612A">
      <w:numFmt w:val="decimal"/>
      <w:lvlText w:val=""/>
      <w:lvlJc w:val="left"/>
    </w:lvl>
  </w:abstractNum>
  <w:abstractNum w:abstractNumId="10" w15:restartNumberingAfterBreak="0">
    <w:nsid w:val="2C905027"/>
    <w:multiLevelType w:val="hybridMultilevel"/>
    <w:tmpl w:val="44F24D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EB141F2"/>
    <w:multiLevelType w:val="hybridMultilevel"/>
    <w:tmpl w:val="A69673F4"/>
    <w:lvl w:ilvl="0" w:tplc="C27ED6E0">
      <w:start w:val="35"/>
      <w:numFmt w:val="upperLetter"/>
      <w:lvlText w:val="%1."/>
      <w:lvlJc w:val="left"/>
    </w:lvl>
    <w:lvl w:ilvl="1" w:tplc="034E43C2">
      <w:numFmt w:val="decimal"/>
      <w:lvlText w:val=""/>
      <w:lvlJc w:val="left"/>
    </w:lvl>
    <w:lvl w:ilvl="2" w:tplc="BE5084EC">
      <w:numFmt w:val="decimal"/>
      <w:lvlText w:val=""/>
      <w:lvlJc w:val="left"/>
    </w:lvl>
    <w:lvl w:ilvl="3" w:tplc="E8B87254">
      <w:numFmt w:val="decimal"/>
      <w:lvlText w:val=""/>
      <w:lvlJc w:val="left"/>
    </w:lvl>
    <w:lvl w:ilvl="4" w:tplc="81BC96FA">
      <w:numFmt w:val="decimal"/>
      <w:lvlText w:val=""/>
      <w:lvlJc w:val="left"/>
    </w:lvl>
    <w:lvl w:ilvl="5" w:tplc="99FABB4A">
      <w:numFmt w:val="decimal"/>
      <w:lvlText w:val=""/>
      <w:lvlJc w:val="left"/>
    </w:lvl>
    <w:lvl w:ilvl="6" w:tplc="7DE436B6">
      <w:numFmt w:val="decimal"/>
      <w:lvlText w:val=""/>
      <w:lvlJc w:val="left"/>
    </w:lvl>
    <w:lvl w:ilvl="7" w:tplc="3A621E7C">
      <w:numFmt w:val="decimal"/>
      <w:lvlText w:val=""/>
      <w:lvlJc w:val="left"/>
    </w:lvl>
    <w:lvl w:ilvl="8" w:tplc="C9846A88">
      <w:numFmt w:val="decimal"/>
      <w:lvlText w:val=""/>
      <w:lvlJc w:val="left"/>
    </w:lvl>
  </w:abstractNum>
  <w:abstractNum w:abstractNumId="12" w15:restartNumberingAfterBreak="0">
    <w:nsid w:val="3352255A"/>
    <w:multiLevelType w:val="hybridMultilevel"/>
    <w:tmpl w:val="9E06E9CA"/>
    <w:lvl w:ilvl="0" w:tplc="728245F6">
      <w:start w:val="5"/>
      <w:numFmt w:val="decimal"/>
      <w:lvlText w:val="%1."/>
      <w:lvlJc w:val="left"/>
    </w:lvl>
    <w:lvl w:ilvl="1" w:tplc="4F027AD4">
      <w:start w:val="1"/>
      <w:numFmt w:val="bullet"/>
      <w:lvlText w:val="-"/>
      <w:lvlJc w:val="left"/>
    </w:lvl>
    <w:lvl w:ilvl="2" w:tplc="7E4CC0D0">
      <w:numFmt w:val="decimal"/>
      <w:lvlText w:val=""/>
      <w:lvlJc w:val="left"/>
    </w:lvl>
    <w:lvl w:ilvl="3" w:tplc="A13CF1E4">
      <w:numFmt w:val="decimal"/>
      <w:lvlText w:val=""/>
      <w:lvlJc w:val="left"/>
    </w:lvl>
    <w:lvl w:ilvl="4" w:tplc="60DE9226">
      <w:numFmt w:val="decimal"/>
      <w:lvlText w:val=""/>
      <w:lvlJc w:val="left"/>
    </w:lvl>
    <w:lvl w:ilvl="5" w:tplc="5D308A0A">
      <w:numFmt w:val="decimal"/>
      <w:lvlText w:val=""/>
      <w:lvlJc w:val="left"/>
    </w:lvl>
    <w:lvl w:ilvl="6" w:tplc="19763DA0">
      <w:numFmt w:val="decimal"/>
      <w:lvlText w:val=""/>
      <w:lvlJc w:val="left"/>
    </w:lvl>
    <w:lvl w:ilvl="7" w:tplc="8C6A3532">
      <w:numFmt w:val="decimal"/>
      <w:lvlText w:val=""/>
      <w:lvlJc w:val="left"/>
    </w:lvl>
    <w:lvl w:ilvl="8" w:tplc="208057FC">
      <w:numFmt w:val="decimal"/>
      <w:lvlText w:val=""/>
      <w:lvlJc w:val="left"/>
    </w:lvl>
  </w:abstractNum>
  <w:abstractNum w:abstractNumId="13" w15:restartNumberingAfterBreak="0">
    <w:nsid w:val="41A7C4C9"/>
    <w:multiLevelType w:val="hybridMultilevel"/>
    <w:tmpl w:val="F6DE3D04"/>
    <w:lvl w:ilvl="0" w:tplc="0F8A8266">
      <w:start w:val="1"/>
      <w:numFmt w:val="bullet"/>
      <w:lvlText w:val="-"/>
      <w:lvlJc w:val="left"/>
    </w:lvl>
    <w:lvl w:ilvl="1" w:tplc="06EAA440">
      <w:numFmt w:val="decimal"/>
      <w:lvlText w:val=""/>
      <w:lvlJc w:val="left"/>
    </w:lvl>
    <w:lvl w:ilvl="2" w:tplc="98A801C6">
      <w:numFmt w:val="decimal"/>
      <w:lvlText w:val=""/>
      <w:lvlJc w:val="left"/>
    </w:lvl>
    <w:lvl w:ilvl="3" w:tplc="7744CF8C">
      <w:numFmt w:val="decimal"/>
      <w:lvlText w:val=""/>
      <w:lvlJc w:val="left"/>
    </w:lvl>
    <w:lvl w:ilvl="4" w:tplc="CD04CC40">
      <w:numFmt w:val="decimal"/>
      <w:lvlText w:val=""/>
      <w:lvlJc w:val="left"/>
    </w:lvl>
    <w:lvl w:ilvl="5" w:tplc="4E544812">
      <w:numFmt w:val="decimal"/>
      <w:lvlText w:val=""/>
      <w:lvlJc w:val="left"/>
    </w:lvl>
    <w:lvl w:ilvl="6" w:tplc="694E673E">
      <w:numFmt w:val="decimal"/>
      <w:lvlText w:val=""/>
      <w:lvlJc w:val="left"/>
    </w:lvl>
    <w:lvl w:ilvl="7" w:tplc="2CF89392">
      <w:numFmt w:val="decimal"/>
      <w:lvlText w:val=""/>
      <w:lvlJc w:val="left"/>
    </w:lvl>
    <w:lvl w:ilvl="8" w:tplc="F288FF4C">
      <w:numFmt w:val="decimal"/>
      <w:lvlText w:val=""/>
      <w:lvlJc w:val="left"/>
    </w:lvl>
  </w:abstractNum>
  <w:abstractNum w:abstractNumId="14" w15:restartNumberingAfterBreak="0">
    <w:nsid w:val="41B71EFB"/>
    <w:multiLevelType w:val="hybridMultilevel"/>
    <w:tmpl w:val="722A1FF2"/>
    <w:lvl w:ilvl="0" w:tplc="FD1227BE">
      <w:start w:val="61"/>
      <w:numFmt w:val="upperLetter"/>
      <w:lvlText w:val="%1."/>
      <w:lvlJc w:val="left"/>
    </w:lvl>
    <w:lvl w:ilvl="1" w:tplc="2618F002">
      <w:numFmt w:val="decimal"/>
      <w:lvlText w:val=""/>
      <w:lvlJc w:val="left"/>
    </w:lvl>
    <w:lvl w:ilvl="2" w:tplc="326819EC">
      <w:numFmt w:val="decimal"/>
      <w:lvlText w:val=""/>
      <w:lvlJc w:val="left"/>
    </w:lvl>
    <w:lvl w:ilvl="3" w:tplc="D2F0E2A2">
      <w:numFmt w:val="decimal"/>
      <w:lvlText w:val=""/>
      <w:lvlJc w:val="left"/>
    </w:lvl>
    <w:lvl w:ilvl="4" w:tplc="F1CCE678">
      <w:numFmt w:val="decimal"/>
      <w:lvlText w:val=""/>
      <w:lvlJc w:val="left"/>
    </w:lvl>
    <w:lvl w:ilvl="5" w:tplc="3A3A19D6">
      <w:numFmt w:val="decimal"/>
      <w:lvlText w:val=""/>
      <w:lvlJc w:val="left"/>
    </w:lvl>
    <w:lvl w:ilvl="6" w:tplc="9F6A1386">
      <w:numFmt w:val="decimal"/>
      <w:lvlText w:val=""/>
      <w:lvlJc w:val="left"/>
    </w:lvl>
    <w:lvl w:ilvl="7" w:tplc="6D26D3AA">
      <w:numFmt w:val="decimal"/>
      <w:lvlText w:val=""/>
      <w:lvlJc w:val="left"/>
    </w:lvl>
    <w:lvl w:ilvl="8" w:tplc="B9A46BCA">
      <w:numFmt w:val="decimal"/>
      <w:lvlText w:val=""/>
      <w:lvlJc w:val="left"/>
    </w:lvl>
  </w:abstractNum>
  <w:abstractNum w:abstractNumId="15" w15:restartNumberingAfterBreak="0">
    <w:nsid w:val="4DB127F8"/>
    <w:multiLevelType w:val="hybridMultilevel"/>
    <w:tmpl w:val="103E67FC"/>
    <w:lvl w:ilvl="0" w:tplc="9A8C99D0">
      <w:start w:val="1"/>
      <w:numFmt w:val="bullet"/>
      <w:lvlText w:val="−"/>
      <w:lvlJc w:val="left"/>
    </w:lvl>
    <w:lvl w:ilvl="1" w:tplc="5A34D41E">
      <w:numFmt w:val="decimal"/>
      <w:lvlText w:val=""/>
      <w:lvlJc w:val="left"/>
    </w:lvl>
    <w:lvl w:ilvl="2" w:tplc="3C480ABE">
      <w:numFmt w:val="decimal"/>
      <w:lvlText w:val=""/>
      <w:lvlJc w:val="left"/>
    </w:lvl>
    <w:lvl w:ilvl="3" w:tplc="5768BA30">
      <w:numFmt w:val="decimal"/>
      <w:lvlText w:val=""/>
      <w:lvlJc w:val="left"/>
    </w:lvl>
    <w:lvl w:ilvl="4" w:tplc="5C64E94C">
      <w:numFmt w:val="decimal"/>
      <w:lvlText w:val=""/>
      <w:lvlJc w:val="left"/>
    </w:lvl>
    <w:lvl w:ilvl="5" w:tplc="D1380C14">
      <w:numFmt w:val="decimal"/>
      <w:lvlText w:val=""/>
      <w:lvlJc w:val="left"/>
    </w:lvl>
    <w:lvl w:ilvl="6" w:tplc="CDEA222C">
      <w:numFmt w:val="decimal"/>
      <w:lvlText w:val=""/>
      <w:lvlJc w:val="left"/>
    </w:lvl>
    <w:lvl w:ilvl="7" w:tplc="66DA163E">
      <w:numFmt w:val="decimal"/>
      <w:lvlText w:val=""/>
      <w:lvlJc w:val="left"/>
    </w:lvl>
    <w:lvl w:ilvl="8" w:tplc="B5807584">
      <w:numFmt w:val="decimal"/>
      <w:lvlText w:val=""/>
      <w:lvlJc w:val="left"/>
    </w:lvl>
  </w:abstractNum>
  <w:abstractNum w:abstractNumId="16" w15:restartNumberingAfterBreak="0">
    <w:nsid w:val="4E6AFB66"/>
    <w:multiLevelType w:val="hybridMultilevel"/>
    <w:tmpl w:val="F44EEB14"/>
    <w:lvl w:ilvl="0" w:tplc="20A8516A">
      <w:start w:val="1"/>
      <w:numFmt w:val="bullet"/>
      <w:lvlText w:val="-"/>
      <w:lvlJc w:val="left"/>
    </w:lvl>
    <w:lvl w:ilvl="1" w:tplc="DE260C56">
      <w:numFmt w:val="decimal"/>
      <w:lvlText w:val=""/>
      <w:lvlJc w:val="left"/>
    </w:lvl>
    <w:lvl w:ilvl="2" w:tplc="83D4CC0A">
      <w:numFmt w:val="decimal"/>
      <w:lvlText w:val=""/>
      <w:lvlJc w:val="left"/>
    </w:lvl>
    <w:lvl w:ilvl="3" w:tplc="236665D4">
      <w:numFmt w:val="decimal"/>
      <w:lvlText w:val=""/>
      <w:lvlJc w:val="left"/>
    </w:lvl>
    <w:lvl w:ilvl="4" w:tplc="090C7752">
      <w:numFmt w:val="decimal"/>
      <w:lvlText w:val=""/>
      <w:lvlJc w:val="left"/>
    </w:lvl>
    <w:lvl w:ilvl="5" w:tplc="0D20C958">
      <w:numFmt w:val="decimal"/>
      <w:lvlText w:val=""/>
      <w:lvlJc w:val="left"/>
    </w:lvl>
    <w:lvl w:ilvl="6" w:tplc="DADCCA54">
      <w:numFmt w:val="decimal"/>
      <w:lvlText w:val=""/>
      <w:lvlJc w:val="left"/>
    </w:lvl>
    <w:lvl w:ilvl="7" w:tplc="B15E06D2">
      <w:numFmt w:val="decimal"/>
      <w:lvlText w:val=""/>
      <w:lvlJc w:val="left"/>
    </w:lvl>
    <w:lvl w:ilvl="8" w:tplc="FA563684">
      <w:numFmt w:val="decimal"/>
      <w:lvlText w:val=""/>
      <w:lvlJc w:val="left"/>
    </w:lvl>
  </w:abstractNum>
  <w:abstractNum w:abstractNumId="17" w15:restartNumberingAfterBreak="0">
    <w:nsid w:val="507ED7AB"/>
    <w:multiLevelType w:val="hybridMultilevel"/>
    <w:tmpl w:val="1A0458B2"/>
    <w:lvl w:ilvl="0" w:tplc="1248D458">
      <w:start w:val="1"/>
      <w:numFmt w:val="bullet"/>
      <w:lvlText w:val="-"/>
      <w:lvlJc w:val="left"/>
    </w:lvl>
    <w:lvl w:ilvl="1" w:tplc="E88624E4">
      <w:numFmt w:val="decimal"/>
      <w:lvlText w:val=""/>
      <w:lvlJc w:val="left"/>
    </w:lvl>
    <w:lvl w:ilvl="2" w:tplc="ADC28308">
      <w:numFmt w:val="decimal"/>
      <w:lvlText w:val=""/>
      <w:lvlJc w:val="left"/>
    </w:lvl>
    <w:lvl w:ilvl="3" w:tplc="28B8649E">
      <w:numFmt w:val="decimal"/>
      <w:lvlText w:val=""/>
      <w:lvlJc w:val="left"/>
    </w:lvl>
    <w:lvl w:ilvl="4" w:tplc="71B46C3A">
      <w:numFmt w:val="decimal"/>
      <w:lvlText w:val=""/>
      <w:lvlJc w:val="left"/>
    </w:lvl>
    <w:lvl w:ilvl="5" w:tplc="8C901C38">
      <w:numFmt w:val="decimal"/>
      <w:lvlText w:val=""/>
      <w:lvlJc w:val="left"/>
    </w:lvl>
    <w:lvl w:ilvl="6" w:tplc="EF8EB2DA">
      <w:numFmt w:val="decimal"/>
      <w:lvlText w:val=""/>
      <w:lvlJc w:val="left"/>
    </w:lvl>
    <w:lvl w:ilvl="7" w:tplc="E8AC91D0">
      <w:numFmt w:val="decimal"/>
      <w:lvlText w:val=""/>
      <w:lvlJc w:val="left"/>
    </w:lvl>
    <w:lvl w:ilvl="8" w:tplc="70D2B036">
      <w:numFmt w:val="decimal"/>
      <w:lvlText w:val=""/>
      <w:lvlJc w:val="left"/>
    </w:lvl>
  </w:abstractNum>
  <w:abstractNum w:abstractNumId="18" w15:restartNumberingAfterBreak="0">
    <w:nsid w:val="515F007C"/>
    <w:multiLevelType w:val="hybridMultilevel"/>
    <w:tmpl w:val="543E4D12"/>
    <w:lvl w:ilvl="0" w:tplc="20662C50">
      <w:start w:val="1"/>
      <w:numFmt w:val="bullet"/>
      <w:lvlText w:val="-"/>
      <w:lvlJc w:val="left"/>
    </w:lvl>
    <w:lvl w:ilvl="1" w:tplc="60C265A6">
      <w:numFmt w:val="decimal"/>
      <w:lvlText w:val=""/>
      <w:lvlJc w:val="left"/>
    </w:lvl>
    <w:lvl w:ilvl="2" w:tplc="F70628B2">
      <w:numFmt w:val="decimal"/>
      <w:lvlText w:val=""/>
      <w:lvlJc w:val="left"/>
    </w:lvl>
    <w:lvl w:ilvl="3" w:tplc="980470DC">
      <w:numFmt w:val="decimal"/>
      <w:lvlText w:val=""/>
      <w:lvlJc w:val="left"/>
    </w:lvl>
    <w:lvl w:ilvl="4" w:tplc="19CAC660">
      <w:numFmt w:val="decimal"/>
      <w:lvlText w:val=""/>
      <w:lvlJc w:val="left"/>
    </w:lvl>
    <w:lvl w:ilvl="5" w:tplc="C34CCDEE">
      <w:numFmt w:val="decimal"/>
      <w:lvlText w:val=""/>
      <w:lvlJc w:val="left"/>
    </w:lvl>
    <w:lvl w:ilvl="6" w:tplc="AE683BA8">
      <w:numFmt w:val="decimal"/>
      <w:lvlText w:val=""/>
      <w:lvlJc w:val="left"/>
    </w:lvl>
    <w:lvl w:ilvl="7" w:tplc="0BFAF4E4">
      <w:numFmt w:val="decimal"/>
      <w:lvlText w:val=""/>
      <w:lvlJc w:val="left"/>
    </w:lvl>
    <w:lvl w:ilvl="8" w:tplc="61241AB6">
      <w:numFmt w:val="decimal"/>
      <w:lvlText w:val=""/>
      <w:lvlJc w:val="left"/>
    </w:lvl>
  </w:abstractNum>
  <w:abstractNum w:abstractNumId="19" w15:restartNumberingAfterBreak="0">
    <w:nsid w:val="51BF609B"/>
    <w:multiLevelType w:val="hybridMultilevel"/>
    <w:tmpl w:val="5C98B1A0"/>
    <w:lvl w:ilvl="0" w:tplc="49D607B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062C2"/>
    <w:multiLevelType w:val="hybridMultilevel"/>
    <w:tmpl w:val="10423866"/>
    <w:lvl w:ilvl="0" w:tplc="28D0F6EC">
      <w:start w:val="1"/>
      <w:numFmt w:val="bullet"/>
      <w:lvlText w:val="-"/>
      <w:lvlJc w:val="left"/>
    </w:lvl>
    <w:lvl w:ilvl="1" w:tplc="585E6DDA">
      <w:numFmt w:val="decimal"/>
      <w:lvlText w:val=""/>
      <w:lvlJc w:val="left"/>
    </w:lvl>
    <w:lvl w:ilvl="2" w:tplc="A784DC7E">
      <w:numFmt w:val="decimal"/>
      <w:lvlText w:val=""/>
      <w:lvlJc w:val="left"/>
    </w:lvl>
    <w:lvl w:ilvl="3" w:tplc="521C641E">
      <w:numFmt w:val="decimal"/>
      <w:lvlText w:val=""/>
      <w:lvlJc w:val="left"/>
    </w:lvl>
    <w:lvl w:ilvl="4" w:tplc="427E5C3E">
      <w:numFmt w:val="decimal"/>
      <w:lvlText w:val=""/>
      <w:lvlJc w:val="left"/>
    </w:lvl>
    <w:lvl w:ilvl="5" w:tplc="1054B46A">
      <w:numFmt w:val="decimal"/>
      <w:lvlText w:val=""/>
      <w:lvlJc w:val="left"/>
    </w:lvl>
    <w:lvl w:ilvl="6" w:tplc="D520C1D6">
      <w:numFmt w:val="decimal"/>
      <w:lvlText w:val=""/>
      <w:lvlJc w:val="left"/>
    </w:lvl>
    <w:lvl w:ilvl="7" w:tplc="DD6298E4">
      <w:numFmt w:val="decimal"/>
      <w:lvlText w:val=""/>
      <w:lvlJc w:val="left"/>
    </w:lvl>
    <w:lvl w:ilvl="8" w:tplc="F650F3AA">
      <w:numFmt w:val="decimal"/>
      <w:lvlText w:val=""/>
      <w:lvlJc w:val="left"/>
    </w:lvl>
  </w:abstractNum>
  <w:abstractNum w:abstractNumId="21" w15:restartNumberingAfterBreak="0">
    <w:nsid w:val="621F028F"/>
    <w:multiLevelType w:val="hybridMultilevel"/>
    <w:tmpl w:val="BFA6C024"/>
    <w:lvl w:ilvl="0" w:tplc="FA8C627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3C9869"/>
    <w:multiLevelType w:val="hybridMultilevel"/>
    <w:tmpl w:val="46D00548"/>
    <w:lvl w:ilvl="0" w:tplc="1B422EAC">
      <w:start w:val="1"/>
      <w:numFmt w:val="decimal"/>
      <w:lvlText w:val="%1."/>
      <w:lvlJc w:val="left"/>
      <w:pPr>
        <w:ind w:left="0" w:firstLine="0"/>
      </w:pPr>
    </w:lvl>
    <w:lvl w:ilvl="1" w:tplc="DC5C7930">
      <w:numFmt w:val="decimal"/>
      <w:lvlText w:val=""/>
      <w:lvlJc w:val="left"/>
      <w:pPr>
        <w:ind w:left="0" w:firstLine="0"/>
      </w:pPr>
    </w:lvl>
    <w:lvl w:ilvl="2" w:tplc="AB7A0FB2">
      <w:numFmt w:val="decimal"/>
      <w:lvlText w:val=""/>
      <w:lvlJc w:val="left"/>
      <w:pPr>
        <w:ind w:left="0" w:firstLine="0"/>
      </w:pPr>
    </w:lvl>
    <w:lvl w:ilvl="3" w:tplc="82AED73A">
      <w:numFmt w:val="decimal"/>
      <w:lvlText w:val=""/>
      <w:lvlJc w:val="left"/>
      <w:pPr>
        <w:ind w:left="0" w:firstLine="0"/>
      </w:pPr>
    </w:lvl>
    <w:lvl w:ilvl="4" w:tplc="86BC6406">
      <w:numFmt w:val="decimal"/>
      <w:lvlText w:val=""/>
      <w:lvlJc w:val="left"/>
      <w:pPr>
        <w:ind w:left="0" w:firstLine="0"/>
      </w:pPr>
    </w:lvl>
    <w:lvl w:ilvl="5" w:tplc="99F824DA">
      <w:numFmt w:val="decimal"/>
      <w:lvlText w:val=""/>
      <w:lvlJc w:val="left"/>
      <w:pPr>
        <w:ind w:left="0" w:firstLine="0"/>
      </w:pPr>
    </w:lvl>
    <w:lvl w:ilvl="6" w:tplc="08D8978C">
      <w:numFmt w:val="decimal"/>
      <w:lvlText w:val=""/>
      <w:lvlJc w:val="left"/>
      <w:pPr>
        <w:ind w:left="0" w:firstLine="0"/>
      </w:pPr>
    </w:lvl>
    <w:lvl w:ilvl="7" w:tplc="5420B5DE">
      <w:numFmt w:val="decimal"/>
      <w:lvlText w:val=""/>
      <w:lvlJc w:val="left"/>
      <w:pPr>
        <w:ind w:left="0" w:firstLine="0"/>
      </w:pPr>
    </w:lvl>
    <w:lvl w:ilvl="8" w:tplc="B942BECC">
      <w:numFmt w:val="decimal"/>
      <w:lvlText w:val=""/>
      <w:lvlJc w:val="left"/>
      <w:pPr>
        <w:ind w:left="0" w:firstLine="0"/>
      </w:pPr>
    </w:lvl>
  </w:abstractNum>
  <w:abstractNum w:abstractNumId="23" w15:restartNumberingAfterBreak="0">
    <w:nsid w:val="66334873"/>
    <w:multiLevelType w:val="hybridMultilevel"/>
    <w:tmpl w:val="1812EE98"/>
    <w:lvl w:ilvl="0" w:tplc="D06C7E70">
      <w:start w:val="9"/>
      <w:numFmt w:val="upperLetter"/>
      <w:lvlText w:val="%1"/>
      <w:lvlJc w:val="left"/>
    </w:lvl>
    <w:lvl w:ilvl="1" w:tplc="FBD26DD8">
      <w:numFmt w:val="decimal"/>
      <w:lvlText w:val=""/>
      <w:lvlJc w:val="left"/>
    </w:lvl>
    <w:lvl w:ilvl="2" w:tplc="80360EFA">
      <w:numFmt w:val="decimal"/>
      <w:lvlText w:val=""/>
      <w:lvlJc w:val="left"/>
    </w:lvl>
    <w:lvl w:ilvl="3" w:tplc="018CCE68">
      <w:numFmt w:val="decimal"/>
      <w:lvlText w:val=""/>
      <w:lvlJc w:val="left"/>
    </w:lvl>
    <w:lvl w:ilvl="4" w:tplc="1B72556C">
      <w:numFmt w:val="decimal"/>
      <w:lvlText w:val=""/>
      <w:lvlJc w:val="left"/>
    </w:lvl>
    <w:lvl w:ilvl="5" w:tplc="7402E68C">
      <w:numFmt w:val="decimal"/>
      <w:lvlText w:val=""/>
      <w:lvlJc w:val="left"/>
    </w:lvl>
    <w:lvl w:ilvl="6" w:tplc="4FA03ABC">
      <w:numFmt w:val="decimal"/>
      <w:lvlText w:val=""/>
      <w:lvlJc w:val="left"/>
    </w:lvl>
    <w:lvl w:ilvl="7" w:tplc="C23AD35A">
      <w:numFmt w:val="decimal"/>
      <w:lvlText w:val=""/>
      <w:lvlJc w:val="left"/>
    </w:lvl>
    <w:lvl w:ilvl="8" w:tplc="E42E54B6">
      <w:numFmt w:val="decimal"/>
      <w:lvlText w:val=""/>
      <w:lvlJc w:val="left"/>
    </w:lvl>
  </w:abstractNum>
  <w:abstractNum w:abstractNumId="24" w15:restartNumberingAfterBreak="0">
    <w:nsid w:val="66EF438D"/>
    <w:multiLevelType w:val="hybridMultilevel"/>
    <w:tmpl w:val="4B6CE456"/>
    <w:lvl w:ilvl="0" w:tplc="3CD4F4D8">
      <w:start w:val="1"/>
      <w:numFmt w:val="decimal"/>
      <w:lvlText w:val="%1."/>
      <w:lvlJc w:val="left"/>
    </w:lvl>
    <w:lvl w:ilvl="1" w:tplc="B0182C06">
      <w:start w:val="1"/>
      <w:numFmt w:val="lowerLetter"/>
      <w:lvlText w:val="%2)"/>
      <w:lvlJc w:val="left"/>
    </w:lvl>
    <w:lvl w:ilvl="2" w:tplc="40DA803E">
      <w:numFmt w:val="decimal"/>
      <w:lvlText w:val=""/>
      <w:lvlJc w:val="left"/>
    </w:lvl>
    <w:lvl w:ilvl="3" w:tplc="279E5880">
      <w:numFmt w:val="decimal"/>
      <w:lvlText w:val=""/>
      <w:lvlJc w:val="left"/>
    </w:lvl>
    <w:lvl w:ilvl="4" w:tplc="79CAD666">
      <w:numFmt w:val="decimal"/>
      <w:lvlText w:val=""/>
      <w:lvlJc w:val="left"/>
    </w:lvl>
    <w:lvl w:ilvl="5" w:tplc="B9F2F7A4">
      <w:numFmt w:val="decimal"/>
      <w:lvlText w:val=""/>
      <w:lvlJc w:val="left"/>
    </w:lvl>
    <w:lvl w:ilvl="6" w:tplc="D3C2613A">
      <w:numFmt w:val="decimal"/>
      <w:lvlText w:val=""/>
      <w:lvlJc w:val="left"/>
    </w:lvl>
    <w:lvl w:ilvl="7" w:tplc="56985BE6">
      <w:numFmt w:val="decimal"/>
      <w:lvlText w:val=""/>
      <w:lvlJc w:val="left"/>
    </w:lvl>
    <w:lvl w:ilvl="8" w:tplc="04185E14">
      <w:numFmt w:val="decimal"/>
      <w:lvlText w:val=""/>
      <w:lvlJc w:val="left"/>
    </w:lvl>
  </w:abstractNum>
  <w:abstractNum w:abstractNumId="25" w15:restartNumberingAfterBreak="0">
    <w:nsid w:val="74B0DC51"/>
    <w:multiLevelType w:val="hybridMultilevel"/>
    <w:tmpl w:val="315CE76E"/>
    <w:lvl w:ilvl="0" w:tplc="E98A0ADA">
      <w:start w:val="61"/>
      <w:numFmt w:val="upperLetter"/>
      <w:lvlText w:val="%1"/>
      <w:lvlJc w:val="left"/>
    </w:lvl>
    <w:lvl w:ilvl="1" w:tplc="910AB47C">
      <w:numFmt w:val="decimal"/>
      <w:lvlText w:val=""/>
      <w:lvlJc w:val="left"/>
    </w:lvl>
    <w:lvl w:ilvl="2" w:tplc="7BB67422">
      <w:numFmt w:val="decimal"/>
      <w:lvlText w:val=""/>
      <w:lvlJc w:val="left"/>
    </w:lvl>
    <w:lvl w:ilvl="3" w:tplc="CFEC33D6">
      <w:numFmt w:val="decimal"/>
      <w:lvlText w:val=""/>
      <w:lvlJc w:val="left"/>
    </w:lvl>
    <w:lvl w:ilvl="4" w:tplc="23724F14">
      <w:numFmt w:val="decimal"/>
      <w:lvlText w:val=""/>
      <w:lvlJc w:val="left"/>
    </w:lvl>
    <w:lvl w:ilvl="5" w:tplc="156A040E">
      <w:numFmt w:val="decimal"/>
      <w:lvlText w:val=""/>
      <w:lvlJc w:val="left"/>
    </w:lvl>
    <w:lvl w:ilvl="6" w:tplc="CACA41C8">
      <w:numFmt w:val="decimal"/>
      <w:lvlText w:val=""/>
      <w:lvlJc w:val="left"/>
    </w:lvl>
    <w:lvl w:ilvl="7" w:tplc="15A6D14E">
      <w:numFmt w:val="decimal"/>
      <w:lvlText w:val=""/>
      <w:lvlJc w:val="left"/>
    </w:lvl>
    <w:lvl w:ilvl="8" w:tplc="1BAABD44">
      <w:numFmt w:val="decimal"/>
      <w:lvlText w:val=""/>
      <w:lvlJc w:val="left"/>
    </w:lvl>
  </w:abstractNum>
  <w:abstractNum w:abstractNumId="26" w15:restartNumberingAfterBreak="0">
    <w:nsid w:val="7545E146"/>
    <w:multiLevelType w:val="hybridMultilevel"/>
    <w:tmpl w:val="9FB8DA02"/>
    <w:lvl w:ilvl="0" w:tplc="1C764B60">
      <w:start w:val="22"/>
      <w:numFmt w:val="upperLetter"/>
      <w:lvlText w:val="%1."/>
      <w:lvlJc w:val="left"/>
    </w:lvl>
    <w:lvl w:ilvl="1" w:tplc="0F52F8C8">
      <w:numFmt w:val="decimal"/>
      <w:lvlText w:val=""/>
      <w:lvlJc w:val="left"/>
    </w:lvl>
    <w:lvl w:ilvl="2" w:tplc="B2804B1A">
      <w:numFmt w:val="decimal"/>
      <w:lvlText w:val=""/>
      <w:lvlJc w:val="left"/>
    </w:lvl>
    <w:lvl w:ilvl="3" w:tplc="8E68A234">
      <w:numFmt w:val="decimal"/>
      <w:lvlText w:val=""/>
      <w:lvlJc w:val="left"/>
    </w:lvl>
    <w:lvl w:ilvl="4" w:tplc="31FC02FC">
      <w:numFmt w:val="decimal"/>
      <w:lvlText w:val=""/>
      <w:lvlJc w:val="left"/>
    </w:lvl>
    <w:lvl w:ilvl="5" w:tplc="C0E49066">
      <w:numFmt w:val="decimal"/>
      <w:lvlText w:val=""/>
      <w:lvlJc w:val="left"/>
    </w:lvl>
    <w:lvl w:ilvl="6" w:tplc="28C6AE56">
      <w:numFmt w:val="decimal"/>
      <w:lvlText w:val=""/>
      <w:lvlJc w:val="left"/>
    </w:lvl>
    <w:lvl w:ilvl="7" w:tplc="BD588C98">
      <w:numFmt w:val="decimal"/>
      <w:lvlText w:val=""/>
      <w:lvlJc w:val="left"/>
    </w:lvl>
    <w:lvl w:ilvl="8" w:tplc="14C88C56">
      <w:numFmt w:val="decimal"/>
      <w:lvlText w:val=""/>
      <w:lvlJc w:val="left"/>
    </w:lvl>
  </w:abstractNum>
  <w:abstractNum w:abstractNumId="27" w15:restartNumberingAfterBreak="0">
    <w:nsid w:val="79E2A9E3"/>
    <w:multiLevelType w:val="hybridMultilevel"/>
    <w:tmpl w:val="97BEE8CC"/>
    <w:lvl w:ilvl="0" w:tplc="9C829E30">
      <w:start w:val="1"/>
      <w:numFmt w:val="bullet"/>
      <w:lvlText w:val="-"/>
      <w:lvlJc w:val="left"/>
    </w:lvl>
    <w:lvl w:ilvl="1" w:tplc="3586B6C8">
      <w:numFmt w:val="decimal"/>
      <w:lvlText w:val=""/>
      <w:lvlJc w:val="left"/>
    </w:lvl>
    <w:lvl w:ilvl="2" w:tplc="880C9C64">
      <w:numFmt w:val="decimal"/>
      <w:lvlText w:val=""/>
      <w:lvlJc w:val="left"/>
    </w:lvl>
    <w:lvl w:ilvl="3" w:tplc="1ABE4158">
      <w:numFmt w:val="decimal"/>
      <w:lvlText w:val=""/>
      <w:lvlJc w:val="left"/>
    </w:lvl>
    <w:lvl w:ilvl="4" w:tplc="42AE8A70">
      <w:numFmt w:val="decimal"/>
      <w:lvlText w:val=""/>
      <w:lvlJc w:val="left"/>
    </w:lvl>
    <w:lvl w:ilvl="5" w:tplc="871E2788">
      <w:numFmt w:val="decimal"/>
      <w:lvlText w:val=""/>
      <w:lvlJc w:val="left"/>
    </w:lvl>
    <w:lvl w:ilvl="6" w:tplc="DB389626">
      <w:numFmt w:val="decimal"/>
      <w:lvlText w:val=""/>
      <w:lvlJc w:val="left"/>
    </w:lvl>
    <w:lvl w:ilvl="7" w:tplc="9D16CE10">
      <w:numFmt w:val="decimal"/>
      <w:lvlText w:val=""/>
      <w:lvlJc w:val="left"/>
    </w:lvl>
    <w:lvl w:ilvl="8" w:tplc="B7105FD4">
      <w:numFmt w:val="decimal"/>
      <w:lvlText w:val=""/>
      <w:lvlJc w:val="left"/>
    </w:lvl>
  </w:abstractNum>
  <w:abstractNum w:abstractNumId="28" w15:restartNumberingAfterBreak="0">
    <w:nsid w:val="7FDCC233"/>
    <w:multiLevelType w:val="hybridMultilevel"/>
    <w:tmpl w:val="BF0A9318"/>
    <w:lvl w:ilvl="0" w:tplc="A7FCF1D2">
      <w:start w:val="6"/>
      <w:numFmt w:val="decimal"/>
      <w:lvlText w:val="%1."/>
      <w:lvlJc w:val="left"/>
    </w:lvl>
    <w:lvl w:ilvl="1" w:tplc="8A94BB8A">
      <w:numFmt w:val="decimal"/>
      <w:lvlText w:val=""/>
      <w:lvlJc w:val="left"/>
    </w:lvl>
    <w:lvl w:ilvl="2" w:tplc="4D5A0DD4">
      <w:numFmt w:val="decimal"/>
      <w:lvlText w:val=""/>
      <w:lvlJc w:val="left"/>
    </w:lvl>
    <w:lvl w:ilvl="3" w:tplc="00D0A2BC">
      <w:numFmt w:val="decimal"/>
      <w:lvlText w:val=""/>
      <w:lvlJc w:val="left"/>
    </w:lvl>
    <w:lvl w:ilvl="4" w:tplc="A9F21EF6">
      <w:numFmt w:val="decimal"/>
      <w:lvlText w:val=""/>
      <w:lvlJc w:val="left"/>
    </w:lvl>
    <w:lvl w:ilvl="5" w:tplc="1BEEEE26">
      <w:numFmt w:val="decimal"/>
      <w:lvlText w:val=""/>
      <w:lvlJc w:val="left"/>
    </w:lvl>
    <w:lvl w:ilvl="6" w:tplc="E16EF1E8">
      <w:numFmt w:val="decimal"/>
      <w:lvlText w:val=""/>
      <w:lvlJc w:val="left"/>
    </w:lvl>
    <w:lvl w:ilvl="7" w:tplc="E0AA66F0">
      <w:numFmt w:val="decimal"/>
      <w:lvlText w:val=""/>
      <w:lvlJc w:val="left"/>
    </w:lvl>
    <w:lvl w:ilvl="8" w:tplc="86726AF2">
      <w:numFmt w:val="decimal"/>
      <w:lvlText w:val=""/>
      <w:lvlJc w:val="left"/>
    </w:lvl>
  </w:abstractNum>
  <w:num w:numId="1">
    <w:abstractNumId w:val="23"/>
  </w:num>
  <w:num w:numId="2">
    <w:abstractNumId w:val="25"/>
  </w:num>
  <w:num w:numId="3">
    <w:abstractNumId w:val="6"/>
  </w:num>
  <w:num w:numId="4">
    <w:abstractNumId w:val="4"/>
  </w:num>
  <w:num w:numId="5">
    <w:abstractNumId w:val="15"/>
  </w:num>
  <w:num w:numId="6">
    <w:abstractNumId w:val="0"/>
  </w:num>
  <w:num w:numId="7">
    <w:abstractNumId w:val="8"/>
  </w:num>
  <w:num w:numId="8">
    <w:abstractNumId w:val="3"/>
  </w:num>
  <w:num w:numId="9">
    <w:abstractNumId w:val="24"/>
  </w:num>
  <w:num w:numId="10">
    <w:abstractNumId w:val="5"/>
  </w:num>
  <w:num w:numId="11">
    <w:abstractNumId w:val="12"/>
  </w:num>
  <w:num w:numId="12">
    <w:abstractNumId w:val="2"/>
  </w:num>
  <w:num w:numId="13">
    <w:abstractNumId w:val="1"/>
  </w:num>
  <w:num w:numId="14">
    <w:abstractNumId w:val="28"/>
  </w:num>
  <w:num w:numId="15">
    <w:abstractNumId w:val="7"/>
  </w:num>
  <w:num w:numId="16">
    <w:abstractNumId w:val="13"/>
  </w:num>
  <w:num w:numId="17">
    <w:abstractNumId w:val="16"/>
  </w:num>
  <w:num w:numId="18">
    <w:abstractNumId w:val="9"/>
  </w:num>
  <w:num w:numId="19">
    <w:abstractNumId w:val="17"/>
  </w:num>
  <w:num w:numId="20">
    <w:abstractNumId w:val="11"/>
  </w:num>
  <w:num w:numId="21">
    <w:abstractNumId w:val="14"/>
  </w:num>
  <w:num w:numId="22">
    <w:abstractNumId w:val="27"/>
  </w:num>
  <w:num w:numId="23">
    <w:abstractNumId w:val="26"/>
  </w:num>
  <w:num w:numId="24">
    <w:abstractNumId w:val="18"/>
  </w:num>
  <w:num w:numId="25">
    <w:abstractNumId w:val="20"/>
  </w:num>
  <w:num w:numId="26">
    <w:abstractNumId w:val="21"/>
  </w:num>
  <w:num w:numId="27">
    <w:abstractNumId w:val="22"/>
    <w:lvlOverride w:ilvl="0">
      <w:startOverride w:val="1"/>
    </w:lvlOverride>
    <w:lvlOverride w:ilvl="1"/>
    <w:lvlOverride w:ilvl="2"/>
    <w:lvlOverride w:ilvl="3"/>
    <w:lvlOverride w:ilvl="4"/>
    <w:lvlOverride w:ilvl="5"/>
    <w:lvlOverride w:ilvl="6"/>
    <w:lvlOverride w:ilvl="7"/>
    <w:lvlOverride w:ilvl="8"/>
  </w:num>
  <w:num w:numId="28">
    <w:abstractNumId w:val="23"/>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98"/>
    <w:rsid w:val="00014127"/>
    <w:rsid w:val="00015753"/>
    <w:rsid w:val="000956F5"/>
    <w:rsid w:val="00162EB8"/>
    <w:rsid w:val="00181927"/>
    <w:rsid w:val="001D442A"/>
    <w:rsid w:val="00251044"/>
    <w:rsid w:val="002A4922"/>
    <w:rsid w:val="0032083E"/>
    <w:rsid w:val="00382460"/>
    <w:rsid w:val="00414D52"/>
    <w:rsid w:val="00480E8A"/>
    <w:rsid w:val="00511ABA"/>
    <w:rsid w:val="005739BF"/>
    <w:rsid w:val="00633D17"/>
    <w:rsid w:val="006405AC"/>
    <w:rsid w:val="006F156F"/>
    <w:rsid w:val="00712AD9"/>
    <w:rsid w:val="007268DE"/>
    <w:rsid w:val="00753F2D"/>
    <w:rsid w:val="00764033"/>
    <w:rsid w:val="00846F68"/>
    <w:rsid w:val="008A658C"/>
    <w:rsid w:val="008B7098"/>
    <w:rsid w:val="008C14D1"/>
    <w:rsid w:val="0091591D"/>
    <w:rsid w:val="00940681"/>
    <w:rsid w:val="00A00318"/>
    <w:rsid w:val="00AB1668"/>
    <w:rsid w:val="00AB47D4"/>
    <w:rsid w:val="00AB62A5"/>
    <w:rsid w:val="00B055D5"/>
    <w:rsid w:val="00B30691"/>
    <w:rsid w:val="00B64D02"/>
    <w:rsid w:val="00B66799"/>
    <w:rsid w:val="00B903C1"/>
    <w:rsid w:val="00C27904"/>
    <w:rsid w:val="00E61536"/>
    <w:rsid w:val="00E704CC"/>
    <w:rsid w:val="00E76624"/>
    <w:rsid w:val="00ED2AEB"/>
    <w:rsid w:val="00ED483A"/>
    <w:rsid w:val="00F642B2"/>
    <w:rsid w:val="00F679D2"/>
    <w:rsid w:val="00FF5E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D9520-033E-4843-9DDF-C0008C10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098"/>
    <w:pPr>
      <w:spacing w:after="0" w:line="240" w:lineRule="auto"/>
    </w:pPr>
    <w:rPr>
      <w:rFonts w:ascii="Times New Roman" w:eastAsiaTheme="minorEastAsia" w:hAnsi="Times New Roman" w:cs="Times New Roman"/>
      <w:lang w:eastAsia="hr-HR"/>
    </w:rPr>
  </w:style>
  <w:style w:type="paragraph" w:styleId="Naslov1">
    <w:name w:val="heading 1"/>
    <w:basedOn w:val="Normal"/>
    <w:next w:val="Normal"/>
    <w:link w:val="Naslov1Char"/>
    <w:qFormat/>
    <w:rsid w:val="008A658C"/>
    <w:pPr>
      <w:keepNext/>
      <w:jc w:val="center"/>
      <w:outlineLvl w:val="0"/>
    </w:pPr>
    <w:rPr>
      <w:rFonts w:eastAsia="Times New Roman"/>
      <w:b/>
      <w:bCs/>
      <w:sz w:val="24"/>
      <w:szCs w:val="24"/>
    </w:rPr>
  </w:style>
  <w:style w:type="paragraph" w:styleId="Naslov3">
    <w:name w:val="heading 3"/>
    <w:basedOn w:val="Normal"/>
    <w:next w:val="Normal"/>
    <w:link w:val="Naslov3Char"/>
    <w:uiPriority w:val="9"/>
    <w:semiHidden/>
    <w:unhideWhenUsed/>
    <w:qFormat/>
    <w:rsid w:val="00712AD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iPriority w:val="9"/>
    <w:semiHidden/>
    <w:unhideWhenUsed/>
    <w:qFormat/>
    <w:rsid w:val="00712AD9"/>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uiPriority w:val="9"/>
    <w:semiHidden/>
    <w:unhideWhenUsed/>
    <w:qFormat/>
    <w:rsid w:val="00712AD9"/>
    <w:pPr>
      <w:keepNext/>
      <w:keepLines/>
      <w:spacing w:before="40"/>
      <w:outlineLvl w:val="4"/>
    </w:pPr>
    <w:rPr>
      <w:rFonts w:asciiTheme="majorHAnsi" w:eastAsiaTheme="majorEastAsia" w:hAnsiTheme="majorHAnsi" w:cstheme="majorBidi"/>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8B709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Bezproreda">
    <w:name w:val="No Spacing"/>
    <w:uiPriority w:val="1"/>
    <w:qFormat/>
    <w:rsid w:val="00E76624"/>
    <w:pPr>
      <w:spacing w:after="0" w:line="240" w:lineRule="auto"/>
    </w:pPr>
    <w:rPr>
      <w:rFonts w:ascii="Times New Roman" w:eastAsiaTheme="minorEastAsia" w:hAnsi="Times New Roman" w:cs="Times New Roman"/>
      <w:lang w:eastAsia="hr-HR"/>
    </w:rPr>
  </w:style>
  <w:style w:type="paragraph" w:styleId="Odlomakpopisa">
    <w:name w:val="List Paragraph"/>
    <w:basedOn w:val="Normal"/>
    <w:uiPriority w:val="34"/>
    <w:qFormat/>
    <w:rsid w:val="00E76624"/>
    <w:pPr>
      <w:ind w:left="720"/>
      <w:contextualSpacing/>
    </w:pPr>
  </w:style>
  <w:style w:type="character" w:styleId="Hiperveza">
    <w:name w:val="Hyperlink"/>
    <w:basedOn w:val="Zadanifontodlomka"/>
    <w:uiPriority w:val="99"/>
    <w:semiHidden/>
    <w:unhideWhenUsed/>
    <w:rsid w:val="00B903C1"/>
    <w:rPr>
      <w:color w:val="0000FF"/>
      <w:u w:val="single"/>
    </w:rPr>
  </w:style>
  <w:style w:type="character" w:customStyle="1" w:styleId="Naslov1Char">
    <w:name w:val="Naslov 1 Char"/>
    <w:basedOn w:val="Zadanifontodlomka"/>
    <w:link w:val="Naslov1"/>
    <w:rsid w:val="008A658C"/>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uiPriority w:val="9"/>
    <w:semiHidden/>
    <w:rsid w:val="00712AD9"/>
    <w:rPr>
      <w:rFonts w:asciiTheme="majorHAnsi" w:eastAsiaTheme="majorEastAsia" w:hAnsiTheme="majorHAnsi" w:cstheme="majorBidi"/>
      <w:color w:val="243F60" w:themeColor="accent1" w:themeShade="7F"/>
      <w:sz w:val="24"/>
      <w:szCs w:val="24"/>
      <w:lang w:eastAsia="hr-HR"/>
    </w:rPr>
  </w:style>
  <w:style w:type="character" w:customStyle="1" w:styleId="Naslov4Char">
    <w:name w:val="Naslov 4 Char"/>
    <w:basedOn w:val="Zadanifontodlomka"/>
    <w:link w:val="Naslov4"/>
    <w:uiPriority w:val="9"/>
    <w:semiHidden/>
    <w:rsid w:val="00712AD9"/>
    <w:rPr>
      <w:rFonts w:asciiTheme="majorHAnsi" w:eastAsiaTheme="majorEastAsia" w:hAnsiTheme="majorHAnsi" w:cstheme="majorBidi"/>
      <w:i/>
      <w:iCs/>
      <w:color w:val="365F91" w:themeColor="accent1" w:themeShade="BF"/>
      <w:lang w:eastAsia="hr-HR"/>
    </w:rPr>
  </w:style>
  <w:style w:type="character" w:customStyle="1" w:styleId="Naslov5Char">
    <w:name w:val="Naslov 5 Char"/>
    <w:basedOn w:val="Zadanifontodlomka"/>
    <w:link w:val="Naslov5"/>
    <w:uiPriority w:val="9"/>
    <w:semiHidden/>
    <w:rsid w:val="00712AD9"/>
    <w:rPr>
      <w:rFonts w:asciiTheme="majorHAnsi" w:eastAsiaTheme="majorEastAsia" w:hAnsiTheme="majorHAnsi" w:cstheme="majorBidi"/>
      <w:color w:val="365F91" w:themeColor="accent1" w:themeShade="BF"/>
      <w:lang w:eastAsia="hr-HR"/>
    </w:rPr>
  </w:style>
  <w:style w:type="paragraph" w:styleId="Tijeloteksta">
    <w:name w:val="Body Text"/>
    <w:basedOn w:val="Normal"/>
    <w:link w:val="TijelotekstaChar"/>
    <w:semiHidden/>
    <w:rsid w:val="00ED2AEB"/>
    <w:pPr>
      <w:jc w:val="both"/>
    </w:pPr>
    <w:rPr>
      <w:rFonts w:eastAsia="Times New Roman"/>
      <w:b/>
      <w:bCs/>
      <w:sz w:val="24"/>
      <w:szCs w:val="24"/>
    </w:rPr>
  </w:style>
  <w:style w:type="character" w:customStyle="1" w:styleId="TijelotekstaChar">
    <w:name w:val="Tijelo teksta Char"/>
    <w:basedOn w:val="Zadanifontodlomka"/>
    <w:link w:val="Tijeloteksta"/>
    <w:semiHidden/>
    <w:rsid w:val="00ED2AEB"/>
    <w:rPr>
      <w:rFonts w:ascii="Times New Roman" w:eastAsia="Times New Roman" w:hAnsi="Times New Roman" w:cs="Times New Roman"/>
      <w:b/>
      <w:bCs/>
      <w:sz w:val="24"/>
      <w:szCs w:val="24"/>
      <w:lang w:eastAsia="hr-HR"/>
    </w:rPr>
  </w:style>
  <w:style w:type="table" w:styleId="Reetkatablice">
    <w:name w:val="Table Grid"/>
    <w:basedOn w:val="Obinatablica"/>
    <w:uiPriority w:val="59"/>
    <w:rsid w:val="00B30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203">
    <w:name w:val="box_458203"/>
    <w:basedOn w:val="Normal"/>
    <w:rsid w:val="00015753"/>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74229">
      <w:bodyDiv w:val="1"/>
      <w:marLeft w:val="0"/>
      <w:marRight w:val="0"/>
      <w:marTop w:val="0"/>
      <w:marBottom w:val="0"/>
      <w:divBdr>
        <w:top w:val="none" w:sz="0" w:space="0" w:color="auto"/>
        <w:left w:val="none" w:sz="0" w:space="0" w:color="auto"/>
        <w:bottom w:val="none" w:sz="0" w:space="0" w:color="auto"/>
        <w:right w:val="none" w:sz="0" w:space="0" w:color="auto"/>
      </w:divBdr>
    </w:div>
    <w:div w:id="1258558598">
      <w:bodyDiv w:val="1"/>
      <w:marLeft w:val="0"/>
      <w:marRight w:val="0"/>
      <w:marTop w:val="0"/>
      <w:marBottom w:val="0"/>
      <w:divBdr>
        <w:top w:val="none" w:sz="0" w:space="0" w:color="auto"/>
        <w:left w:val="none" w:sz="0" w:space="0" w:color="auto"/>
        <w:bottom w:val="none" w:sz="0" w:space="0" w:color="auto"/>
        <w:right w:val="none" w:sz="0" w:space="0" w:color="auto"/>
      </w:divBdr>
    </w:div>
    <w:div w:id="1694068336">
      <w:bodyDiv w:val="1"/>
      <w:marLeft w:val="0"/>
      <w:marRight w:val="0"/>
      <w:marTop w:val="0"/>
      <w:marBottom w:val="0"/>
      <w:divBdr>
        <w:top w:val="none" w:sz="0" w:space="0" w:color="auto"/>
        <w:left w:val="none" w:sz="0" w:space="0" w:color="auto"/>
        <w:bottom w:val="none" w:sz="0" w:space="0" w:color="auto"/>
        <w:right w:val="none" w:sz="0" w:space="0" w:color="auto"/>
      </w:divBdr>
    </w:div>
    <w:div w:id="174753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2376</Words>
  <Characters>13549</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Racunalo</dc:creator>
  <cp:keywords/>
  <dc:description/>
  <cp:lastModifiedBy>korisnik</cp:lastModifiedBy>
  <cp:revision>3</cp:revision>
  <dcterms:created xsi:type="dcterms:W3CDTF">2019-01-22T08:59:00Z</dcterms:created>
  <dcterms:modified xsi:type="dcterms:W3CDTF">2019-02-06T11:30:00Z</dcterms:modified>
</cp:coreProperties>
</file>